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B668E">
      <w:pPr>
        <w:keepNext w:val="0"/>
        <w:keepLines w:val="0"/>
        <w:pageBreakBefore w:val="0"/>
        <w:widowControl w:val="0"/>
        <w:kinsoku/>
        <w:wordWrap/>
        <w:overflowPunct/>
        <w:topLinePunct w:val="0"/>
        <w:autoSpaceDE/>
        <w:autoSpaceDN/>
        <w:bidi w:val="0"/>
        <w:adjustRightInd w:val="0"/>
        <w:snapToGrid w:val="0"/>
        <w:spacing w:before="80" w:after="80" w:line="560" w:lineRule="exact"/>
        <w:jc w:val="center"/>
        <w:textAlignment w:val="auto"/>
        <w:rPr>
          <w:rFonts w:hint="default" w:ascii="仿宋_GB2312" w:hAnsi="仿宋_GB2312" w:eastAsia="仿宋_GB2312" w:cs="仿宋_GB2312"/>
          <w:kern w:val="0"/>
          <w:sz w:val="21"/>
          <w:szCs w:val="21"/>
          <w:highlight w:val="none"/>
          <w:lang w:val="en-US" w:eastAsia="zh-CN"/>
        </w:rPr>
      </w:pPr>
      <w:r>
        <w:rPr>
          <w:rFonts w:hint="eastAsia" w:ascii="仿宋_GB2312" w:hAnsi="仿宋_GB2312" w:eastAsia="仿宋_GB2312" w:cs="仿宋_GB2312"/>
          <w:kern w:val="0"/>
          <w:sz w:val="21"/>
          <w:szCs w:val="21"/>
        </w:rPr>
        <w:t xml:space="preserve">证券代码：000029、200029     证券简称：深深房Ａ、深深房Ｂ    </w:t>
      </w:r>
      <w:r>
        <w:rPr>
          <w:rFonts w:hint="eastAsia" w:ascii="仿宋_GB2312" w:hAnsi="仿宋_GB2312" w:eastAsia="仿宋_GB2312" w:cs="仿宋_GB2312"/>
          <w:kern w:val="0"/>
          <w:sz w:val="21"/>
          <w:szCs w:val="21"/>
          <w:highlight w:val="none"/>
        </w:rPr>
        <w:t xml:space="preserve"> 公告编号：</w:t>
      </w:r>
      <w:r>
        <w:rPr>
          <w:rFonts w:hint="eastAsia" w:ascii="仿宋_GB2312" w:hAnsi="仿宋_GB2312" w:eastAsia="仿宋_GB2312" w:cs="仿宋_GB2312"/>
          <w:kern w:val="0"/>
          <w:sz w:val="21"/>
          <w:szCs w:val="21"/>
          <w:highlight w:val="none"/>
          <w:lang w:val="en-US" w:eastAsia="zh-CN"/>
        </w:rPr>
        <w:t>2026-026</w:t>
      </w:r>
    </w:p>
    <w:p w14:paraId="3D63F3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宋体" w:eastAsia="方正小标宋简体" w:cs="方正小标宋简体"/>
          <w:b w:val="0"/>
          <w:w w:val="94"/>
          <w:kern w:val="2"/>
          <w:sz w:val="44"/>
          <w:szCs w:val="44"/>
          <w:lang w:val="en-US" w:bidi="ar-SA"/>
        </w:rPr>
      </w:pPr>
      <w:r>
        <w:rPr>
          <w:rFonts w:hint="eastAsia" w:ascii="方正小标宋简体" w:hAnsi="宋体" w:eastAsia="方正小标宋简体" w:cs="方正小标宋简体"/>
          <w:b w:val="0"/>
          <w:w w:val="94"/>
          <w:kern w:val="2"/>
          <w:sz w:val="44"/>
          <w:szCs w:val="44"/>
          <w:lang w:val="en-US" w:bidi="ar-SA"/>
        </w:rPr>
        <w:t>深圳经济特区房地产（集团）股份有限公司</w:t>
      </w:r>
    </w:p>
    <w:p w14:paraId="5C29BB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宋体" w:eastAsia="方正小标宋简体" w:cs="方正小标宋简体"/>
          <w:b w:val="0"/>
          <w:w w:val="94"/>
          <w:kern w:val="2"/>
          <w:sz w:val="44"/>
          <w:szCs w:val="44"/>
          <w:lang w:val="en-US" w:bidi="ar-SA"/>
        </w:rPr>
      </w:pPr>
      <w:r>
        <w:rPr>
          <w:rFonts w:hint="eastAsia" w:ascii="方正小标宋简体" w:hAnsi="宋体" w:eastAsia="方正小标宋简体" w:cs="方正小标宋简体"/>
          <w:b w:val="0"/>
          <w:w w:val="94"/>
          <w:kern w:val="2"/>
          <w:sz w:val="44"/>
          <w:szCs w:val="44"/>
          <w:lang w:val="en-US" w:bidi="ar-SA"/>
        </w:rPr>
        <w:t>关于召开</w:t>
      </w:r>
      <w:r>
        <w:rPr>
          <w:rFonts w:hint="eastAsia" w:ascii="方正小标宋简体" w:hAnsi="宋体" w:eastAsia="方正小标宋简体" w:cs="方正小标宋简体"/>
          <w:b w:val="0"/>
          <w:w w:val="94"/>
          <w:kern w:val="2"/>
          <w:sz w:val="44"/>
          <w:szCs w:val="44"/>
          <w:lang w:val="en-US" w:eastAsia="zh-CN" w:bidi="ar-SA"/>
        </w:rPr>
        <w:t>2026年第二次临时股东会</w:t>
      </w:r>
      <w:r>
        <w:rPr>
          <w:rFonts w:hint="eastAsia" w:ascii="方正小标宋简体" w:hAnsi="宋体" w:eastAsia="方正小标宋简体" w:cs="方正小标宋简体"/>
          <w:b w:val="0"/>
          <w:w w:val="94"/>
          <w:kern w:val="2"/>
          <w:sz w:val="44"/>
          <w:szCs w:val="44"/>
          <w:lang w:val="en-US" w:bidi="ar-SA"/>
        </w:rPr>
        <w:t>的通知</w:t>
      </w:r>
    </w:p>
    <w:p w14:paraId="383F8F9D">
      <w:pPr>
        <w:pBdr>
          <w:top w:val="single" w:color="auto" w:sz="4" w:space="1"/>
          <w:left w:val="single" w:color="auto" w:sz="4" w:space="0"/>
          <w:bottom w:val="single" w:color="auto" w:sz="4" w:space="1"/>
          <w:right w:val="single" w:color="auto" w:sz="4" w:space="0"/>
        </w:pBdr>
        <w:autoSpaceDE/>
        <w:autoSpaceDN/>
        <w:spacing w:beforeLines="100" w:afterLines="100" w:line="360" w:lineRule="auto"/>
        <w:ind w:firstLine="420" w:firstLineChars="200"/>
        <w:jc w:val="both"/>
        <w:rPr>
          <w:rFonts w:hint="eastAsia" w:ascii="仿宋_GB2312" w:hAnsi="仿宋_GB2312" w:eastAsia="仿宋_GB2312" w:cs="仿宋_GB2312"/>
          <w:bCs/>
          <w:kern w:val="2"/>
          <w:sz w:val="21"/>
          <w:szCs w:val="24"/>
          <w:lang w:val="en-US" w:bidi="ar-SA"/>
        </w:rPr>
      </w:pPr>
      <w:r>
        <w:rPr>
          <w:rFonts w:hint="eastAsia" w:ascii="仿宋_GB2312" w:hAnsi="仿宋_GB2312" w:eastAsia="仿宋_GB2312" w:cs="仿宋_GB2312"/>
          <w:bCs/>
          <w:kern w:val="2"/>
          <w:sz w:val="21"/>
          <w:szCs w:val="24"/>
          <w:lang w:val="en-US" w:bidi="ar-SA"/>
        </w:rPr>
        <w:t>本公司及董事会全体成员保证信息披露的内容真实、准确、完整，没有虚假记载、误导性陈述或重大遗漏。</w:t>
      </w:r>
    </w:p>
    <w:p w14:paraId="17EC42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一、召开会议的基本情况</w:t>
      </w:r>
    </w:p>
    <w:p w14:paraId="7290F66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（一）股东会届次</w:t>
      </w:r>
    </w:p>
    <w:p w14:paraId="1376B0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本次会议为公司2026年第二次临时股东会。</w:t>
      </w:r>
    </w:p>
    <w:p w14:paraId="6304D8D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（二）股东会的召集人</w:t>
      </w:r>
    </w:p>
    <w:p w14:paraId="305712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本次会议的召集人为公司董事会。</w:t>
      </w:r>
    </w:p>
    <w:p w14:paraId="2AD7EE0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（三）会议召开的合法、合规性</w:t>
      </w:r>
    </w:p>
    <w:p w14:paraId="5E7AB3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会议的召集、召开符合《中华人民共和国公司法》《深圳证券交易所股票上市规则》《深圳证券交易所上市公司自律监管指引第1号——主板上市公司规范运作》等法律、行政法规、部门规章、规范性文件及《公司章程》的有关规定。</w:t>
      </w:r>
    </w:p>
    <w:p w14:paraId="2B782EF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（四）会议召开日期和时间</w:t>
      </w:r>
    </w:p>
    <w:p w14:paraId="732A8D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1.现场会议召开时间：</w:t>
      </w:r>
    </w:p>
    <w:p w14:paraId="47852F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sz w:val="32"/>
          <w:szCs w:val="32"/>
          <w:highlight w:val="none"/>
          <w:lang w:val="en-US" w:eastAsia="zh-CN"/>
        </w:rPr>
        <w:t>2026年6月30日14点45分开始</w:t>
      </w:r>
      <w:r>
        <w:rPr>
          <w:rFonts w:hint="eastAsia" w:ascii="仿宋_GB2312" w:hAnsi="仿宋_GB2312" w:eastAsia="仿宋_GB2312" w:cs="仿宋_GB2312"/>
          <w:color w:val="000000"/>
          <w:kern w:val="2"/>
          <w:sz w:val="32"/>
          <w:szCs w:val="32"/>
          <w:highlight w:val="none"/>
          <w:lang w:val="en-US" w:eastAsia="zh-CN" w:bidi="zh-CN"/>
        </w:rPr>
        <w:t>。</w:t>
      </w:r>
    </w:p>
    <w:p w14:paraId="2D22B20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2.网络投票时间：</w:t>
      </w:r>
    </w:p>
    <w:p w14:paraId="6C6785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通过深圳证券交易所交易系统进行网络投票的具体时间为</w:t>
      </w:r>
      <w:r>
        <w:rPr>
          <w:rFonts w:hint="eastAsia" w:ascii="仿宋_GB2312" w:hAnsi="仿宋_GB2312" w:eastAsia="仿宋_GB2312" w:cs="仿宋_GB2312"/>
          <w:color w:val="000000"/>
          <w:sz w:val="32"/>
          <w:szCs w:val="32"/>
          <w:highlight w:val="none"/>
          <w:lang w:val="en-US" w:eastAsia="zh-CN"/>
        </w:rPr>
        <w:t>2026年6月30日</w:t>
      </w:r>
      <w:r>
        <w:rPr>
          <w:rFonts w:hint="eastAsia" w:ascii="仿宋_GB2312" w:hAnsi="仿宋_GB2312" w:eastAsia="仿宋_GB2312" w:cs="仿宋_GB2312"/>
          <w:color w:val="000000"/>
          <w:kern w:val="2"/>
          <w:sz w:val="32"/>
          <w:szCs w:val="32"/>
          <w:highlight w:val="none"/>
          <w:lang w:val="en-US" w:eastAsia="zh-CN" w:bidi="zh-CN"/>
        </w:rPr>
        <w:t>9:15-9:25，9:30-11:30，13:00-15:00；通过深圳证券交易所互联网投票系统投票的具体时间为</w:t>
      </w:r>
      <w:r>
        <w:rPr>
          <w:rFonts w:hint="eastAsia" w:ascii="仿宋_GB2312" w:hAnsi="仿宋_GB2312" w:eastAsia="仿宋_GB2312" w:cs="仿宋_GB2312"/>
          <w:color w:val="000000"/>
          <w:sz w:val="32"/>
          <w:szCs w:val="32"/>
          <w:highlight w:val="none"/>
          <w:lang w:val="en-US" w:eastAsia="zh-CN"/>
        </w:rPr>
        <w:t>2026年6月30日</w:t>
      </w:r>
      <w:r>
        <w:rPr>
          <w:rFonts w:hint="eastAsia" w:ascii="仿宋_GB2312" w:hAnsi="仿宋_GB2312" w:eastAsia="仿宋_GB2312" w:cs="仿宋_GB2312"/>
          <w:color w:val="000000"/>
          <w:kern w:val="2"/>
          <w:sz w:val="32"/>
          <w:szCs w:val="32"/>
          <w:highlight w:val="none"/>
          <w:lang w:val="en-US" w:eastAsia="zh-CN" w:bidi="zh-CN"/>
        </w:rPr>
        <w:t>9:15至15:00的任意时间。</w:t>
      </w:r>
    </w:p>
    <w:p w14:paraId="418A85F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（五）会议的召开方式</w:t>
      </w:r>
    </w:p>
    <w:p w14:paraId="5BC799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本次股东会采用现场表决与网络投票相结合的方式召开。公司股东只能选择现场投票、网络投票中的一种表决方式，如果同一表决权出现重复投票的以第一次有效投票结果为准。</w:t>
      </w:r>
    </w:p>
    <w:p w14:paraId="0D7C034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（六）股权登记日</w:t>
      </w:r>
    </w:p>
    <w:p w14:paraId="60537F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股权登记日为</w:t>
      </w:r>
      <w:r>
        <w:rPr>
          <w:rFonts w:hint="eastAsia" w:ascii="仿宋_GB2312" w:hAnsi="仿宋_GB2312" w:eastAsia="仿宋_GB2312" w:cs="仿宋_GB2312"/>
          <w:color w:val="000000"/>
          <w:sz w:val="32"/>
          <w:szCs w:val="32"/>
          <w:highlight w:val="none"/>
          <w:lang w:val="en-US" w:eastAsia="zh-CN"/>
        </w:rPr>
        <w:t>2026年6月25日</w:t>
      </w:r>
      <w:r>
        <w:rPr>
          <w:rFonts w:hint="eastAsia" w:ascii="仿宋_GB2312" w:hAnsi="仿宋_GB2312" w:eastAsia="仿宋_GB2312" w:cs="仿宋_GB2312"/>
          <w:color w:val="000000"/>
          <w:kern w:val="2"/>
          <w:sz w:val="32"/>
          <w:szCs w:val="32"/>
          <w:highlight w:val="none"/>
          <w:lang w:val="en-US" w:eastAsia="zh-CN" w:bidi="zh-CN"/>
        </w:rPr>
        <w:t>。B股股东应在</w:t>
      </w:r>
      <w:r>
        <w:rPr>
          <w:rFonts w:hint="eastAsia" w:ascii="仿宋_GB2312" w:hAnsi="仿宋_GB2312" w:eastAsia="仿宋_GB2312" w:cs="仿宋_GB2312"/>
          <w:color w:val="000000"/>
          <w:sz w:val="32"/>
          <w:szCs w:val="32"/>
          <w:highlight w:val="none"/>
          <w:lang w:val="en-US" w:eastAsia="zh-CN"/>
        </w:rPr>
        <w:t>2026年6月22</w:t>
      </w:r>
      <w:bookmarkStart w:id="0" w:name="_GoBack"/>
      <w:bookmarkEnd w:id="0"/>
      <w:r>
        <w:rPr>
          <w:rFonts w:hint="eastAsia" w:ascii="仿宋_GB2312" w:hAnsi="仿宋_GB2312" w:eastAsia="仿宋_GB2312" w:cs="仿宋_GB2312"/>
          <w:color w:val="000000"/>
          <w:sz w:val="32"/>
          <w:szCs w:val="32"/>
          <w:highlight w:val="none"/>
          <w:lang w:val="en-US" w:eastAsia="zh-CN"/>
        </w:rPr>
        <w:t>日</w:t>
      </w:r>
      <w:r>
        <w:rPr>
          <w:rFonts w:hint="eastAsia" w:ascii="仿宋_GB2312" w:hAnsi="仿宋_GB2312" w:eastAsia="仿宋_GB2312" w:cs="仿宋_GB2312"/>
          <w:color w:val="000000"/>
          <w:kern w:val="2"/>
          <w:sz w:val="32"/>
          <w:szCs w:val="32"/>
          <w:highlight w:val="none"/>
          <w:lang w:val="en-US" w:eastAsia="zh-CN" w:bidi="zh-CN"/>
        </w:rPr>
        <w:t>（即B股股东能参会的最后交易日）或更早买入公司股票方可参会。</w:t>
      </w:r>
    </w:p>
    <w:p w14:paraId="1FF14D9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（七）出席对象</w:t>
      </w:r>
    </w:p>
    <w:p w14:paraId="15BCA09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1.在股权登记日持有公司股份的股东或其代理人。截至股权登记日下午收市时在中国证券登记结算有限责任公司深圳分公司登记在册的公司全体股东均有权出席股东会，并可以书面形式委托代理人出席会议和参加表决，该股东代理人不必是公司股东。</w:t>
      </w:r>
    </w:p>
    <w:p w14:paraId="42BD54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2.公司董事和高级管理人员。</w:t>
      </w:r>
    </w:p>
    <w:p w14:paraId="1837831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3.公司聘请的律师。</w:t>
      </w:r>
    </w:p>
    <w:p w14:paraId="076DF71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（八）现场会议地点</w:t>
      </w:r>
    </w:p>
    <w:p w14:paraId="051551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广东省深圳市罗湖区人民南路3005号深房广场48A会议室。</w:t>
      </w:r>
    </w:p>
    <w:p w14:paraId="783559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 xml:space="preserve">二、会议审议事项 </w:t>
      </w:r>
    </w:p>
    <w:p w14:paraId="358392B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（一）本次股东会提案编码表</w:t>
      </w:r>
    </w:p>
    <w:tbl>
      <w:tblPr>
        <w:tblStyle w:val="5"/>
        <w:tblW w:w="963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00"/>
        <w:gridCol w:w="3668"/>
        <w:gridCol w:w="2332"/>
        <w:gridCol w:w="2239"/>
      </w:tblGrid>
      <w:tr w14:paraId="4FD8A3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1400"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592254BD">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提案编码</w:t>
            </w:r>
          </w:p>
        </w:tc>
        <w:tc>
          <w:tcPr>
            <w:tcW w:w="3668"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4EC399B3">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提案名称</w:t>
            </w:r>
          </w:p>
        </w:tc>
        <w:tc>
          <w:tcPr>
            <w:tcW w:w="2332" w:type="dxa"/>
            <w:vMerge w:val="restart"/>
            <w:tcBorders>
              <w:top w:val="single" w:color="auto" w:sz="2" w:space="0"/>
              <w:left w:val="single" w:color="auto" w:sz="2" w:space="0"/>
              <w:bottom w:val="single" w:color="auto" w:sz="2" w:space="0"/>
              <w:right w:val="single" w:color="auto" w:sz="2" w:space="0"/>
            </w:tcBorders>
            <w:shd w:val="clear" w:color="auto" w:fill="D3D3D3"/>
            <w:vAlign w:val="center"/>
          </w:tcPr>
          <w:p w14:paraId="219510BA">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提案类型</w:t>
            </w:r>
          </w:p>
        </w:tc>
        <w:tc>
          <w:tcPr>
            <w:tcW w:w="2239" w:type="dxa"/>
            <w:tcBorders>
              <w:top w:val="single" w:color="auto" w:sz="2" w:space="0"/>
              <w:left w:val="single" w:color="auto" w:sz="2" w:space="0"/>
              <w:bottom w:val="single" w:color="auto" w:sz="2" w:space="0"/>
              <w:right w:val="single" w:color="auto" w:sz="2" w:space="0"/>
            </w:tcBorders>
            <w:shd w:val="clear" w:color="auto" w:fill="D3D3D3"/>
            <w:vAlign w:val="center"/>
          </w:tcPr>
          <w:p w14:paraId="43A0B6BE">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14:paraId="2726D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2" w:space="0"/>
              <w:left w:val="single" w:color="auto" w:sz="2" w:space="0"/>
              <w:bottom w:val="single" w:color="auto" w:sz="2" w:space="0"/>
              <w:right w:val="single" w:color="auto" w:sz="2" w:space="0"/>
            </w:tcBorders>
            <w:vAlign w:val="center"/>
          </w:tcPr>
          <w:p w14:paraId="3F8E4AA0">
            <w:pPr>
              <w:rPr>
                <w:rFonts w:hint="eastAsia" w:ascii="仿宋_GB2312" w:hAnsi="仿宋_GB2312" w:eastAsia="仿宋_GB2312" w:cs="仿宋_GB2312"/>
                <w:sz w:val="28"/>
                <w:szCs w:val="28"/>
              </w:rPr>
            </w:pPr>
          </w:p>
        </w:tc>
        <w:tc>
          <w:tcPr>
            <w:tcW w:w="3668" w:type="dxa"/>
            <w:vMerge w:val="continue"/>
            <w:tcBorders>
              <w:top w:val="single" w:color="auto" w:sz="2" w:space="0"/>
              <w:left w:val="single" w:color="auto" w:sz="2" w:space="0"/>
              <w:bottom w:val="single" w:color="auto" w:sz="2" w:space="0"/>
              <w:right w:val="single" w:color="auto" w:sz="2" w:space="0"/>
            </w:tcBorders>
            <w:vAlign w:val="center"/>
          </w:tcPr>
          <w:p w14:paraId="1859A806">
            <w:pPr>
              <w:rPr>
                <w:rFonts w:hint="eastAsia" w:ascii="仿宋_GB2312" w:hAnsi="仿宋_GB2312" w:eastAsia="仿宋_GB2312" w:cs="仿宋_GB2312"/>
                <w:sz w:val="28"/>
                <w:szCs w:val="28"/>
              </w:rPr>
            </w:pPr>
          </w:p>
        </w:tc>
        <w:tc>
          <w:tcPr>
            <w:tcW w:w="2332" w:type="dxa"/>
            <w:vMerge w:val="continue"/>
            <w:tcBorders>
              <w:top w:val="single" w:color="auto" w:sz="2" w:space="0"/>
              <w:left w:val="single" w:color="auto" w:sz="2" w:space="0"/>
              <w:bottom w:val="single" w:color="auto" w:sz="2" w:space="0"/>
              <w:right w:val="single" w:color="auto" w:sz="2" w:space="0"/>
            </w:tcBorders>
            <w:vAlign w:val="center"/>
          </w:tcPr>
          <w:p w14:paraId="5A36F4CC">
            <w:pPr>
              <w:rPr>
                <w:rFonts w:hint="eastAsia" w:ascii="仿宋_GB2312" w:hAnsi="仿宋_GB2312" w:eastAsia="仿宋_GB2312" w:cs="仿宋_GB2312"/>
                <w:sz w:val="28"/>
                <w:szCs w:val="28"/>
              </w:rPr>
            </w:pPr>
          </w:p>
        </w:tc>
        <w:tc>
          <w:tcPr>
            <w:tcW w:w="2239" w:type="dxa"/>
            <w:tcBorders>
              <w:top w:val="single" w:color="auto" w:sz="2" w:space="0"/>
              <w:left w:val="single" w:color="auto" w:sz="2" w:space="0"/>
              <w:bottom w:val="single" w:color="auto" w:sz="2" w:space="0"/>
              <w:right w:val="single" w:color="auto" w:sz="2" w:space="0"/>
            </w:tcBorders>
            <w:vAlign w:val="center"/>
          </w:tcPr>
          <w:p w14:paraId="02BDFC97">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该列打勾的栏目可以投票</w:t>
            </w:r>
          </w:p>
        </w:tc>
      </w:tr>
      <w:tr w14:paraId="67B6B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1400" w:type="dxa"/>
            <w:tcBorders>
              <w:top w:val="single" w:color="auto" w:sz="2" w:space="0"/>
              <w:left w:val="single" w:color="auto" w:sz="2" w:space="0"/>
              <w:bottom w:val="single" w:color="auto" w:sz="2" w:space="0"/>
              <w:right w:val="single" w:color="auto" w:sz="2" w:space="0"/>
            </w:tcBorders>
            <w:shd w:val="clear" w:color="auto" w:fill="auto"/>
            <w:vAlign w:val="center"/>
          </w:tcPr>
          <w:p w14:paraId="6CCE27DE">
            <w:pPr>
              <w:spacing w:before="0" w:after="0" w:line="400" w:lineRule="exact"/>
              <w:jc w:val="center"/>
              <w:rPr>
                <w:rFonts w:hint="eastAsia" w:ascii="宋体" w:hAnsi="宋体" w:eastAsia="宋体" w:cs="宋体"/>
                <w:kern w:val="2"/>
                <w:sz w:val="28"/>
                <w:szCs w:val="28"/>
                <w:lang w:val="en-US" w:eastAsia="zh-CN" w:bidi="ar-SA"/>
              </w:rPr>
            </w:pPr>
            <w:r>
              <w:rPr>
                <w:rFonts w:hint="eastAsia" w:ascii="仿宋_GB2312" w:hAnsi="仿宋_GB2312" w:eastAsia="仿宋_GB2312" w:cs="仿宋_GB2312"/>
                <w:sz w:val="28"/>
                <w:szCs w:val="28"/>
              </w:rPr>
              <w:t>100</w:t>
            </w:r>
          </w:p>
        </w:tc>
        <w:tc>
          <w:tcPr>
            <w:tcW w:w="3668" w:type="dxa"/>
            <w:tcBorders>
              <w:top w:val="single" w:color="auto" w:sz="2" w:space="0"/>
              <w:left w:val="single" w:color="auto" w:sz="2" w:space="0"/>
              <w:bottom w:val="single" w:color="auto" w:sz="2" w:space="0"/>
              <w:right w:val="single" w:color="auto" w:sz="2" w:space="0"/>
            </w:tcBorders>
            <w:shd w:val="clear" w:color="auto" w:fill="auto"/>
            <w:vAlign w:val="center"/>
          </w:tcPr>
          <w:p w14:paraId="28D94F7A">
            <w:pPr>
              <w:spacing w:before="0" w:after="0" w:line="400" w:lineRule="exact"/>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zh-CN" w:eastAsia="zh-CN"/>
              </w:rPr>
              <w:t>总议案：除累积投票提案外的所有提案</w:t>
            </w:r>
          </w:p>
        </w:tc>
        <w:tc>
          <w:tcPr>
            <w:tcW w:w="2332" w:type="dxa"/>
            <w:tcBorders>
              <w:top w:val="single" w:color="auto" w:sz="2" w:space="0"/>
              <w:left w:val="single" w:color="auto" w:sz="2" w:space="0"/>
              <w:bottom w:val="single" w:color="auto" w:sz="2" w:space="0"/>
              <w:right w:val="single" w:color="auto" w:sz="2" w:space="0"/>
            </w:tcBorders>
            <w:shd w:val="clear" w:color="auto" w:fill="auto"/>
            <w:vAlign w:val="center"/>
          </w:tcPr>
          <w:p w14:paraId="5BED43B1">
            <w:pPr>
              <w:spacing w:before="0" w:after="0" w:line="400" w:lineRule="exact"/>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zh-CN" w:eastAsia="zh-CN"/>
              </w:rPr>
              <w:t>非累积投票提案</w:t>
            </w:r>
          </w:p>
        </w:tc>
        <w:tc>
          <w:tcPr>
            <w:tcW w:w="2239" w:type="dxa"/>
            <w:tcBorders>
              <w:top w:val="single" w:color="auto" w:sz="2" w:space="0"/>
              <w:left w:val="single" w:color="auto" w:sz="2" w:space="0"/>
              <w:bottom w:val="single" w:color="auto" w:sz="2" w:space="0"/>
              <w:right w:val="single" w:color="auto" w:sz="2" w:space="0"/>
            </w:tcBorders>
            <w:shd w:val="clear" w:color="auto" w:fill="auto"/>
            <w:vAlign w:val="center"/>
          </w:tcPr>
          <w:p w14:paraId="242B1A51">
            <w:pPr>
              <w:spacing w:before="0" w:after="0" w:line="400" w:lineRule="exact"/>
              <w:jc w:val="center"/>
              <w:rPr>
                <w:rFonts w:hint="eastAsia" w:ascii="宋体" w:hAnsi="宋体" w:eastAsia="宋体" w:cs="宋体"/>
                <w:kern w:val="2"/>
                <w:sz w:val="28"/>
                <w:szCs w:val="28"/>
                <w:lang w:val="en-US" w:eastAsia="zh-CN" w:bidi="ar-SA"/>
              </w:rPr>
            </w:pPr>
            <w:r>
              <w:rPr>
                <w:rFonts w:hint="eastAsia" w:ascii="仿宋_GB2312" w:hAnsi="仿宋_GB2312" w:eastAsia="仿宋_GB2312" w:cs="仿宋_GB2312"/>
                <w:sz w:val="28"/>
                <w:szCs w:val="28"/>
              </w:rPr>
              <w:t>√</w:t>
            </w:r>
          </w:p>
        </w:tc>
      </w:tr>
      <w:tr w14:paraId="11F689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1400" w:type="dxa"/>
            <w:tcBorders>
              <w:top w:val="single" w:color="auto" w:sz="2" w:space="0"/>
              <w:left w:val="single" w:color="auto" w:sz="2" w:space="0"/>
              <w:bottom w:val="single" w:color="auto" w:sz="2" w:space="0"/>
              <w:right w:val="single" w:color="auto" w:sz="2" w:space="0"/>
            </w:tcBorders>
            <w:vAlign w:val="center"/>
          </w:tcPr>
          <w:p w14:paraId="3B897BA6">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3668" w:type="dxa"/>
            <w:tcBorders>
              <w:top w:val="single" w:color="auto" w:sz="2" w:space="0"/>
              <w:left w:val="single" w:color="auto" w:sz="2" w:space="0"/>
              <w:bottom w:val="single" w:color="auto" w:sz="2" w:space="0"/>
              <w:right w:val="single" w:color="auto" w:sz="2" w:space="0"/>
            </w:tcBorders>
            <w:vAlign w:val="center"/>
          </w:tcPr>
          <w:p w14:paraId="705934FA">
            <w:pPr>
              <w:spacing w:before="0" w:after="0" w:line="400" w:lineRule="exact"/>
              <w:jc w:val="left"/>
              <w:rPr>
                <w:rFonts w:hint="eastAsia" w:ascii="仿宋_GB2312" w:hAnsi="仿宋_GB2312" w:eastAsia="仿宋_GB2312" w:cs="仿宋_GB2312"/>
                <w:color w:val="000000"/>
                <w:sz w:val="28"/>
                <w:szCs w:val="28"/>
                <w:highlight w:val="none"/>
                <w:lang w:val="zh-CN" w:eastAsia="zh-CN"/>
              </w:rPr>
            </w:pPr>
            <w:r>
              <w:rPr>
                <w:rFonts w:hint="eastAsia" w:ascii="仿宋_GB2312" w:hAnsi="仿宋_GB2312" w:eastAsia="仿宋_GB2312" w:cs="仿宋_GB2312"/>
                <w:color w:val="000000"/>
                <w:sz w:val="28"/>
                <w:szCs w:val="28"/>
                <w:highlight w:val="none"/>
                <w:lang w:val="en-US" w:eastAsia="zh-CN"/>
              </w:rPr>
              <w:t>《关于制定&lt;董事和高级管理人员薪酬管理制度&gt;的议案》</w:t>
            </w:r>
          </w:p>
        </w:tc>
        <w:tc>
          <w:tcPr>
            <w:tcW w:w="2332" w:type="dxa"/>
            <w:tcBorders>
              <w:top w:val="single" w:color="auto" w:sz="2" w:space="0"/>
              <w:left w:val="single" w:color="auto" w:sz="2" w:space="0"/>
              <w:bottom w:val="single" w:color="auto" w:sz="2" w:space="0"/>
              <w:right w:val="single" w:color="auto" w:sz="2" w:space="0"/>
            </w:tcBorders>
            <w:vAlign w:val="center"/>
          </w:tcPr>
          <w:p w14:paraId="018D4ED9">
            <w:pPr>
              <w:spacing w:before="0" w:after="0"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非累积投票提案</w:t>
            </w:r>
          </w:p>
        </w:tc>
        <w:tc>
          <w:tcPr>
            <w:tcW w:w="2239" w:type="dxa"/>
            <w:tcBorders>
              <w:top w:val="single" w:color="auto" w:sz="2" w:space="0"/>
              <w:left w:val="single" w:color="auto" w:sz="2" w:space="0"/>
              <w:bottom w:val="single" w:color="auto" w:sz="2" w:space="0"/>
              <w:right w:val="single" w:color="auto" w:sz="2" w:space="0"/>
            </w:tcBorders>
            <w:vAlign w:val="center"/>
          </w:tcPr>
          <w:p w14:paraId="133B7CF9">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r>
      <w:tr w14:paraId="265E85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1400" w:type="dxa"/>
            <w:tcBorders>
              <w:top w:val="single" w:color="auto" w:sz="2" w:space="0"/>
              <w:left w:val="single" w:color="auto" w:sz="2" w:space="0"/>
              <w:bottom w:val="single" w:color="auto" w:sz="2" w:space="0"/>
              <w:right w:val="single" w:color="auto" w:sz="2" w:space="0"/>
            </w:tcBorders>
            <w:vAlign w:val="center"/>
          </w:tcPr>
          <w:p w14:paraId="1CFBB88C">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3668" w:type="dxa"/>
            <w:tcBorders>
              <w:top w:val="single" w:color="auto" w:sz="2" w:space="0"/>
              <w:left w:val="single" w:color="auto" w:sz="2" w:space="0"/>
              <w:bottom w:val="single" w:color="auto" w:sz="2" w:space="0"/>
              <w:right w:val="single" w:color="auto" w:sz="2" w:space="0"/>
            </w:tcBorders>
            <w:vAlign w:val="center"/>
          </w:tcPr>
          <w:p w14:paraId="190A51D9">
            <w:pPr>
              <w:spacing w:before="0" w:after="0" w:line="400" w:lineRule="exact"/>
              <w:jc w:val="left"/>
              <w:rPr>
                <w:rFonts w:hint="eastAsia" w:ascii="仿宋_GB2312" w:hAnsi="仿宋_GB2312" w:eastAsia="仿宋_GB2312" w:cs="仿宋_GB2312"/>
                <w:color w:val="000000"/>
                <w:sz w:val="28"/>
                <w:szCs w:val="28"/>
                <w:highlight w:val="none"/>
                <w:lang w:val="zh-CN" w:eastAsia="zh-CN"/>
              </w:rPr>
            </w:pPr>
            <w:r>
              <w:rPr>
                <w:rFonts w:hint="eastAsia" w:ascii="仿宋_GB2312" w:hAnsi="仿宋_GB2312" w:eastAsia="仿宋_GB2312" w:cs="仿宋_GB2312"/>
                <w:color w:val="000000"/>
                <w:sz w:val="28"/>
                <w:szCs w:val="28"/>
                <w:highlight w:val="none"/>
                <w:lang w:val="en-US" w:eastAsia="zh-CN"/>
              </w:rPr>
              <w:t>《关于制定&lt;2026年度董事和高级管理人员薪酬方案&gt;的议案》</w:t>
            </w:r>
          </w:p>
        </w:tc>
        <w:tc>
          <w:tcPr>
            <w:tcW w:w="2332" w:type="dxa"/>
            <w:tcBorders>
              <w:top w:val="single" w:color="auto" w:sz="2" w:space="0"/>
              <w:left w:val="single" w:color="auto" w:sz="2" w:space="0"/>
              <w:bottom w:val="single" w:color="auto" w:sz="2" w:space="0"/>
              <w:right w:val="single" w:color="auto" w:sz="2" w:space="0"/>
            </w:tcBorders>
            <w:vAlign w:val="center"/>
          </w:tcPr>
          <w:p w14:paraId="0B139BB3">
            <w:pPr>
              <w:spacing w:before="0" w:after="0" w:line="4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非累积投票提案</w:t>
            </w:r>
          </w:p>
        </w:tc>
        <w:tc>
          <w:tcPr>
            <w:tcW w:w="2239" w:type="dxa"/>
            <w:tcBorders>
              <w:top w:val="single" w:color="auto" w:sz="2" w:space="0"/>
              <w:left w:val="single" w:color="auto" w:sz="2" w:space="0"/>
              <w:bottom w:val="single" w:color="auto" w:sz="2" w:space="0"/>
              <w:right w:val="single" w:color="auto" w:sz="2" w:space="0"/>
            </w:tcBorders>
            <w:vAlign w:val="center"/>
          </w:tcPr>
          <w:p w14:paraId="4AA696AD">
            <w:pPr>
              <w:spacing w:before="0" w:after="0"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r>
    </w:tbl>
    <w:p w14:paraId="5E721C7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（二）提案说明</w:t>
      </w:r>
    </w:p>
    <w:p w14:paraId="6F104B3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1.提案1经公司第八届董事会第三十次会议审议通过，提案2</w:t>
      </w:r>
      <w:r>
        <w:rPr>
          <w:rFonts w:hint="eastAsia" w:ascii="仿宋_GB2312" w:hAnsi="仿宋_GB2312" w:eastAsia="仿宋_GB2312" w:cs="仿宋_GB2312"/>
          <w:b w:val="0"/>
          <w:bCs w:val="0"/>
          <w:color w:val="000000"/>
          <w:kern w:val="2"/>
          <w:sz w:val="32"/>
          <w:szCs w:val="32"/>
          <w:highlight w:val="none"/>
          <w:lang w:val="en-US" w:eastAsia="zh-CN"/>
        </w:rPr>
        <w:t>全体董事回避表决，直接提请公司股东会审议。</w:t>
      </w:r>
      <w:r>
        <w:rPr>
          <w:rFonts w:hint="eastAsia" w:ascii="仿宋_GB2312" w:hAnsi="仿宋_GB2312" w:eastAsia="仿宋_GB2312" w:cs="仿宋_GB2312"/>
          <w:color w:val="000000"/>
          <w:kern w:val="2"/>
          <w:sz w:val="32"/>
          <w:szCs w:val="32"/>
          <w:highlight w:val="none"/>
          <w:lang w:val="en-US" w:eastAsia="zh-CN" w:bidi="zh-CN"/>
        </w:rPr>
        <w:t>详见公司同日在巨潮资讯网（www.cninfo.com.cn）上披露的《2026年第二次临时股东会会议材料》。</w:t>
      </w:r>
    </w:p>
    <w:p w14:paraId="2168A4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2.公司将对中小股东进行单独计票并披露。</w:t>
      </w:r>
    </w:p>
    <w:p w14:paraId="040809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三、会议登记等事项</w:t>
      </w:r>
    </w:p>
    <w:p w14:paraId="495577D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（一）登记方式</w:t>
      </w:r>
    </w:p>
    <w:p w14:paraId="16E77DB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1.自然人股东亲自出席的，持本人身份证、股东账户卡办理登记；委托代理人出席的，持委托人身份证复印件和股东账户卡、授权委托书、代理人身份证办理登记。</w:t>
      </w:r>
    </w:p>
    <w:p w14:paraId="3C4B3D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法人股东的法定代表人出席的，持本人身份证、法定代表人身份证明书、股东营业执照复印件（加盖公章）、股东账户卡办理登记；法人股东委托代理人出席的，持代理人的身份证、股东营业执照复印件（加盖公章）、法定代表人身份证明书、法定代表人签署的授权委托书（加盖公章）、法定代表人身份证复印件（加盖公章）、股东账户卡办理登记。</w:t>
      </w:r>
    </w:p>
    <w:p w14:paraId="2F9960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3.股东可采用电子邮件的方式登记。电子邮件应于2026年6月26日17点前送达公司邮箱，邮件请注明“参加股东会”。</w:t>
      </w:r>
    </w:p>
    <w:p w14:paraId="40F059A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（二）登记时间</w:t>
      </w:r>
    </w:p>
    <w:p w14:paraId="2522BD8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2026年6月26日9:00至11:30，14:00至17:00。</w:t>
      </w:r>
    </w:p>
    <w:p w14:paraId="3FA690D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（三）登记地点</w:t>
      </w:r>
    </w:p>
    <w:p w14:paraId="486DA9E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深圳市罗湖区人民南路3005号深房广场47楼董事会办公室。</w:t>
      </w:r>
    </w:p>
    <w:p w14:paraId="60522B2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（四）联系方式</w:t>
      </w:r>
    </w:p>
    <w:p w14:paraId="6777C0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联系人：罗毅、洪璐</w:t>
      </w:r>
    </w:p>
    <w:p w14:paraId="0F99C0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电子邮箱：spg@sfjt.sihc.com.cn</w:t>
      </w:r>
    </w:p>
    <w:p w14:paraId="361590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联系电话：0755-25108897、0755-25108837</w:t>
      </w:r>
    </w:p>
    <w:p w14:paraId="5BB1CA8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楷体" w:hAnsi="楷体" w:eastAsia="楷体" w:cs="楷体"/>
          <w:b/>
          <w:bCs/>
          <w:color w:val="000000"/>
          <w:kern w:val="2"/>
          <w:sz w:val="32"/>
          <w:szCs w:val="32"/>
          <w:highlight w:val="none"/>
          <w:lang w:val="en-US" w:eastAsia="zh-CN" w:bidi="zh-CN"/>
        </w:rPr>
      </w:pPr>
      <w:r>
        <w:rPr>
          <w:rFonts w:hint="eastAsia" w:ascii="楷体" w:hAnsi="楷体" w:eastAsia="楷体" w:cs="楷体"/>
          <w:b/>
          <w:bCs/>
          <w:color w:val="000000"/>
          <w:kern w:val="2"/>
          <w:sz w:val="32"/>
          <w:szCs w:val="32"/>
          <w:highlight w:val="none"/>
          <w:lang w:val="en-US" w:eastAsia="zh-CN" w:bidi="zh-CN"/>
        </w:rPr>
        <w:t>（五）其他事项</w:t>
      </w:r>
    </w:p>
    <w:p w14:paraId="7BE5D1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本次现场会议为期半天，与会人员食宿及交通费用自理。</w:t>
      </w:r>
    </w:p>
    <w:p w14:paraId="0A4AEB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四、参加网络投票的具体操作流程</w:t>
      </w:r>
    </w:p>
    <w:p w14:paraId="4821E87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本次股东会上，公司将向股东提供网络平台，股东可以通过深圳证券交易所交易系统和互联网投票系统（https://wltp.cninfo.com.cn）参加投票，网络投票的具体操作流程见附件一。</w:t>
      </w:r>
    </w:p>
    <w:p w14:paraId="36DAAD2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五、备查文件</w:t>
      </w:r>
    </w:p>
    <w:p w14:paraId="68495A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公司第八届董事会第三十次会议决议。</w:t>
      </w:r>
    </w:p>
    <w:p w14:paraId="03F5FF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p>
    <w:p w14:paraId="5EF938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附件：1．参加网络投票的具体操作流程；</w:t>
      </w:r>
    </w:p>
    <w:p w14:paraId="3B31CA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 xml:space="preserve">      2．授权委托书。</w:t>
      </w:r>
    </w:p>
    <w:p w14:paraId="65154B8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p>
    <w:p w14:paraId="1070E3B5">
      <w:pPr>
        <w:snapToGrid w:val="0"/>
        <w:spacing w:line="360" w:lineRule="auto"/>
        <w:ind w:firstLine="480" w:firstLineChars="200"/>
        <w:rPr>
          <w:rFonts w:ascii="宋体" w:hAnsi="宋体" w:eastAsia="宋体" w:cs="Times New Roman"/>
          <w:sz w:val="24"/>
          <w:szCs w:val="24"/>
        </w:rPr>
      </w:pPr>
    </w:p>
    <w:p w14:paraId="58284DE5">
      <w:pPr>
        <w:snapToGrid w:val="0"/>
        <w:spacing w:line="360" w:lineRule="auto"/>
        <w:ind w:firstLine="480" w:firstLineChars="200"/>
        <w:rPr>
          <w:rFonts w:ascii="宋体" w:hAnsi="宋体" w:eastAsia="宋体" w:cs="Times New Roman"/>
          <w:sz w:val="24"/>
          <w:szCs w:val="24"/>
        </w:rPr>
      </w:pPr>
    </w:p>
    <w:p w14:paraId="596C5DFC">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right"/>
        <w:textAlignment w:val="auto"/>
        <w:rPr>
          <w:rFonts w:hint="eastAsia" w:ascii="仿宋_GB2312" w:hAnsi="仿宋_GB2312" w:eastAsia="仿宋_GB2312" w:cs="仿宋_GB2312"/>
          <w:color w:val="000000"/>
          <w:kern w:val="2"/>
          <w:sz w:val="32"/>
          <w:szCs w:val="32"/>
          <w:highlight w:val="none"/>
          <w:lang w:val="en-US" w:eastAsia="zh-CN"/>
        </w:rPr>
      </w:pPr>
      <w:r>
        <w:rPr>
          <w:rFonts w:ascii="宋体" w:hAnsi="宋体" w:eastAsia="宋体" w:cs="仿宋_GB2312"/>
          <w:sz w:val="28"/>
          <w:szCs w:val="28"/>
          <w:highlight w:val="none"/>
        </w:rPr>
        <w:t xml:space="preserve">           </w:t>
      </w:r>
      <w:r>
        <w:rPr>
          <w:rFonts w:hint="eastAsia" w:ascii="仿宋_GB2312" w:hAnsi="仿宋_GB2312" w:eastAsia="仿宋_GB2312" w:cs="仿宋_GB2312"/>
          <w:color w:val="000000"/>
          <w:kern w:val="2"/>
          <w:sz w:val="32"/>
          <w:szCs w:val="32"/>
          <w:highlight w:val="none"/>
          <w:lang w:val="en-US" w:eastAsia="zh-CN"/>
        </w:rPr>
        <w:t>深圳经济特区房地产（集团）股份有限公司</w:t>
      </w:r>
    </w:p>
    <w:p w14:paraId="2B234F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_GB2312" w:hAnsi="仿宋_GB2312" w:eastAsia="仿宋_GB2312" w:cs="仿宋_GB2312"/>
          <w:color w:val="000000"/>
          <w:kern w:val="2"/>
          <w:sz w:val="32"/>
          <w:szCs w:val="32"/>
          <w:highlight w:val="none"/>
          <w:lang w:val="en-US" w:eastAsia="zh-CN"/>
        </w:rPr>
      </w:pPr>
      <w:r>
        <w:rPr>
          <w:rFonts w:hint="eastAsia" w:ascii="仿宋_GB2312" w:hAnsi="仿宋_GB2312" w:eastAsia="仿宋_GB2312" w:cs="仿宋_GB2312"/>
          <w:color w:val="000000"/>
          <w:kern w:val="2"/>
          <w:sz w:val="32"/>
          <w:szCs w:val="32"/>
          <w:highlight w:val="none"/>
          <w:lang w:val="en-US" w:eastAsia="zh-CN"/>
        </w:rPr>
        <w:t xml:space="preserve">              董   事   会</w:t>
      </w:r>
    </w:p>
    <w:p w14:paraId="05AAE6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color w:val="000000"/>
          <w:kern w:val="2"/>
          <w:sz w:val="32"/>
          <w:szCs w:val="32"/>
          <w:highlight w:val="none"/>
          <w:lang w:val="en-US" w:eastAsia="zh-CN"/>
        </w:rPr>
      </w:pPr>
      <w:r>
        <w:rPr>
          <w:rFonts w:hint="eastAsia" w:ascii="仿宋_GB2312" w:hAnsi="仿宋_GB2312" w:eastAsia="仿宋_GB2312" w:cs="仿宋_GB2312"/>
          <w:color w:val="000000"/>
          <w:kern w:val="2"/>
          <w:sz w:val="32"/>
          <w:szCs w:val="32"/>
          <w:highlight w:val="none"/>
          <w:lang w:val="en-US" w:eastAsia="zh-CN"/>
        </w:rPr>
        <w:t xml:space="preserve">               2026年6月13日</w:t>
      </w:r>
    </w:p>
    <w:p w14:paraId="7A8474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_GB2312" w:hAnsi="仿宋_GB2312" w:eastAsia="仿宋_GB2312" w:cs="仿宋_GB2312"/>
          <w:color w:val="000000"/>
          <w:kern w:val="2"/>
          <w:sz w:val="32"/>
          <w:szCs w:val="32"/>
          <w:highlight w:val="none"/>
          <w:lang w:val="en-US" w:eastAsia="zh-CN"/>
        </w:rPr>
      </w:pPr>
    </w:p>
    <w:p w14:paraId="1147AE4A">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right"/>
        <w:textAlignment w:val="auto"/>
        <w:rPr>
          <w:rFonts w:hint="eastAsia" w:ascii="宋体" w:hAnsi="宋体" w:eastAsia="宋体" w:cs="宋体"/>
          <w:color w:val="000000"/>
          <w:kern w:val="2"/>
          <w:sz w:val="24"/>
          <w:szCs w:val="24"/>
          <w:highlight w:val="none"/>
          <w:lang w:val="en-US" w:eastAsia="zh-CN"/>
        </w:rPr>
      </w:pPr>
    </w:p>
    <w:p w14:paraId="30EA4592">
      <w:pPr>
        <w:snapToGrid w:val="0"/>
        <w:spacing w:line="360" w:lineRule="auto"/>
        <w:jc w:val="left"/>
        <w:rPr>
          <w:rFonts w:ascii="宋体" w:hAnsi="宋体" w:eastAsia="宋体" w:cs="Times New Roman"/>
          <w:b/>
          <w:sz w:val="24"/>
          <w:szCs w:val="24"/>
        </w:rPr>
      </w:pPr>
      <w:r>
        <w:rPr>
          <w:rFonts w:ascii="宋体" w:hAnsi="宋体" w:eastAsia="宋体" w:cs="仿宋_GB2312"/>
          <w:sz w:val="24"/>
          <w:szCs w:val="24"/>
          <w:highlight w:val="none"/>
        </w:rPr>
        <w:br w:type="page"/>
      </w:r>
      <w:r>
        <w:rPr>
          <w:rFonts w:hint="eastAsia" w:ascii="仿宋_GB2312" w:hAnsi="仿宋_GB2312" w:eastAsia="仿宋_GB2312" w:cs="仿宋_GB2312"/>
          <w:b w:val="0"/>
          <w:bCs/>
          <w:sz w:val="24"/>
          <w:szCs w:val="24"/>
        </w:rPr>
        <w:t>附件1：</w:t>
      </w:r>
    </w:p>
    <w:p w14:paraId="02A1C464">
      <w:pPr>
        <w:autoSpaceDE/>
        <w:autoSpaceDN/>
        <w:adjustRightInd w:val="0"/>
        <w:snapToGrid w:val="0"/>
        <w:spacing w:line="240" w:lineRule="auto"/>
        <w:jc w:val="center"/>
        <w:rPr>
          <w:rFonts w:hint="eastAsia" w:ascii="方正小标宋简体" w:hAnsi="宋体" w:eastAsia="方正小标宋简体" w:cs="方正小标宋简体"/>
          <w:b w:val="0"/>
          <w:w w:val="94"/>
          <w:kern w:val="2"/>
          <w:sz w:val="44"/>
          <w:szCs w:val="44"/>
          <w:lang w:val="en-US" w:bidi="ar-SA"/>
        </w:rPr>
      </w:pPr>
      <w:r>
        <w:rPr>
          <w:rFonts w:hint="eastAsia" w:ascii="方正小标宋简体" w:hAnsi="宋体" w:eastAsia="方正小标宋简体" w:cs="方正小标宋简体"/>
          <w:b w:val="0"/>
          <w:w w:val="94"/>
          <w:kern w:val="2"/>
          <w:sz w:val="44"/>
          <w:szCs w:val="44"/>
          <w:lang w:val="en-US" w:bidi="ar-SA"/>
        </w:rPr>
        <w:t>参加网络投票的具体操作流程</w:t>
      </w:r>
    </w:p>
    <w:p w14:paraId="11214B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一、网络投票的程序</w:t>
      </w:r>
    </w:p>
    <w:p w14:paraId="2D8C6A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（一）投票代码与投票简称：投票代码为“360029”，投票简称为“深房投票”。</w:t>
      </w:r>
    </w:p>
    <w:p w14:paraId="6424D9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（二）公司无优先股，故不设置优先股投票。</w:t>
      </w:r>
    </w:p>
    <w:p w14:paraId="785269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（三）对于非累积投票提案，填报表决意见：同意、反对、弃权。</w:t>
      </w:r>
    </w:p>
    <w:p w14:paraId="65C3BC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（四）股东对总议案进行投票，视为对除累积投票提案外的其他所有提案表达相同意见。</w:t>
      </w:r>
    </w:p>
    <w:p w14:paraId="77CE95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股东对总议案与具体提案重复投票时，以第一次有效投票为准。如股东先对具体提案投票表决，再对总议案投票表决，则以已投票表决的具体提案的表决意见为准，其他未表决的提案以总议案的表决意见为准；如先对总议案投票表决，再对具体提案投票表决，则以总议案的表决意见为准。</w:t>
      </w:r>
    </w:p>
    <w:p w14:paraId="420D207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二、通过深交所交易系统投票的程序</w:t>
      </w:r>
    </w:p>
    <w:p w14:paraId="1DB970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（一）通过深圳证券交易所交易系统进行网络投票时间为</w:t>
      </w:r>
      <w:r>
        <w:rPr>
          <w:rFonts w:hint="eastAsia" w:ascii="仿宋_GB2312" w:hAnsi="仿宋_GB2312" w:eastAsia="仿宋_GB2312" w:cs="仿宋_GB2312"/>
          <w:color w:val="000000"/>
          <w:sz w:val="32"/>
          <w:szCs w:val="32"/>
          <w:highlight w:val="none"/>
          <w:lang w:val="en-US" w:eastAsia="zh-CN"/>
        </w:rPr>
        <w:t>2026年6月30日</w:t>
      </w:r>
      <w:r>
        <w:rPr>
          <w:rFonts w:hint="eastAsia" w:ascii="仿宋_GB2312" w:hAnsi="仿宋_GB2312" w:eastAsia="仿宋_GB2312" w:cs="仿宋_GB2312"/>
          <w:color w:val="000000"/>
          <w:kern w:val="2"/>
          <w:sz w:val="32"/>
          <w:szCs w:val="32"/>
          <w:highlight w:val="none"/>
          <w:lang w:val="en-US" w:eastAsia="zh-CN" w:bidi="zh-CN"/>
        </w:rPr>
        <w:t>的交易时间，即9:15—9:25,9:30—11:30和13:00—15:00。</w:t>
      </w:r>
    </w:p>
    <w:p w14:paraId="7D4C35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zh-CN"/>
        </w:rPr>
        <w:t>（二）股东可以登录证券公司交易客户端通过交易系统投票。</w:t>
      </w:r>
    </w:p>
    <w:p w14:paraId="71CBC0E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三、通过深交所互联网投票系统投票的程序</w:t>
      </w:r>
    </w:p>
    <w:p w14:paraId="3F720D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（一）通过深圳证券交易所互联网投票系统投票的具体时间为</w:t>
      </w:r>
      <w:r>
        <w:rPr>
          <w:rFonts w:hint="eastAsia" w:ascii="仿宋_GB2312" w:hAnsi="仿宋_GB2312" w:eastAsia="仿宋_GB2312" w:cs="仿宋_GB2312"/>
          <w:color w:val="000000"/>
          <w:sz w:val="32"/>
          <w:szCs w:val="32"/>
          <w:highlight w:val="none"/>
          <w:lang w:val="en-US" w:eastAsia="zh-CN"/>
        </w:rPr>
        <w:t>2026年6月30日</w:t>
      </w:r>
      <w:r>
        <w:rPr>
          <w:rFonts w:hint="eastAsia" w:ascii="仿宋_GB2312" w:hAnsi="仿宋_GB2312" w:eastAsia="仿宋_GB2312" w:cs="仿宋_GB2312"/>
          <w:color w:val="000000"/>
          <w:kern w:val="2"/>
          <w:sz w:val="32"/>
          <w:szCs w:val="32"/>
          <w:highlight w:val="none"/>
          <w:lang w:val="en-US" w:eastAsia="zh-CN" w:bidi="zh-CN"/>
        </w:rPr>
        <w:t>9:15至15:00的任意时间。</w:t>
      </w:r>
    </w:p>
    <w:p w14:paraId="6F15C2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US" w:eastAsia="zh-CN" w:bidi="zh-CN"/>
        </w:rPr>
      </w:pPr>
      <w:r>
        <w:rPr>
          <w:rFonts w:hint="eastAsia" w:ascii="仿宋_GB2312" w:hAnsi="仿宋_GB2312" w:eastAsia="仿宋_GB2312" w:cs="仿宋_GB2312"/>
          <w:color w:val="000000"/>
          <w:kern w:val="2"/>
          <w:sz w:val="32"/>
          <w:szCs w:val="32"/>
          <w:highlight w:val="none"/>
          <w:lang w:val="en-US" w:eastAsia="zh-CN" w:bidi="zh-CN"/>
        </w:rPr>
        <w:t>（二）股东通过互联网投票系统进行网络投票，需按照深圳证券交易所的规定办理身份认证。具体的身份认证流程可登录互联网投票系统</w:t>
      </w:r>
      <w:r>
        <w:rPr>
          <w:rFonts w:hint="eastAsia" w:ascii="仿宋_GB2312" w:hAnsi="仿宋_GB2312" w:eastAsia="仿宋_GB2312" w:cs="仿宋_GB2312"/>
          <w:color w:val="000000"/>
          <w:kern w:val="2"/>
          <w:sz w:val="32"/>
          <w:szCs w:val="32"/>
          <w:highlight w:val="none"/>
          <w:lang w:val="en-US" w:eastAsia="zh-CN" w:bidi="zh-CN"/>
        </w:rPr>
        <w:fldChar w:fldCharType="begin"/>
      </w:r>
      <w:r>
        <w:rPr>
          <w:rFonts w:hint="eastAsia" w:ascii="仿宋_GB2312" w:hAnsi="仿宋_GB2312" w:eastAsia="仿宋_GB2312" w:cs="仿宋_GB2312"/>
          <w:color w:val="000000"/>
          <w:kern w:val="2"/>
          <w:sz w:val="32"/>
          <w:szCs w:val="32"/>
          <w:highlight w:val="none"/>
          <w:lang w:val="en-US" w:eastAsia="zh-CN" w:bidi="zh-CN"/>
        </w:rPr>
        <w:instrText xml:space="preserve"> HYPERLINK "http://wltp.cninfo.com.cn/" </w:instrText>
      </w:r>
      <w:r>
        <w:rPr>
          <w:rFonts w:hint="eastAsia" w:ascii="仿宋_GB2312" w:hAnsi="仿宋_GB2312" w:eastAsia="仿宋_GB2312" w:cs="仿宋_GB2312"/>
          <w:color w:val="000000"/>
          <w:kern w:val="2"/>
          <w:sz w:val="32"/>
          <w:szCs w:val="32"/>
          <w:highlight w:val="none"/>
          <w:lang w:val="en-US" w:eastAsia="zh-CN" w:bidi="zh-CN"/>
        </w:rPr>
        <w:fldChar w:fldCharType="separate"/>
      </w:r>
      <w:r>
        <w:rPr>
          <w:rFonts w:hint="eastAsia" w:ascii="仿宋_GB2312" w:hAnsi="仿宋_GB2312" w:eastAsia="仿宋_GB2312" w:cs="仿宋_GB2312"/>
          <w:color w:val="000000"/>
          <w:kern w:val="2"/>
          <w:sz w:val="32"/>
          <w:szCs w:val="32"/>
          <w:highlight w:val="none"/>
          <w:lang w:val="en-US" w:eastAsia="zh-CN" w:bidi="zh-CN"/>
        </w:rPr>
        <w:t>https://wltp.cninfo.com.cn</w:t>
      </w:r>
      <w:r>
        <w:rPr>
          <w:rFonts w:hint="eastAsia" w:ascii="仿宋_GB2312" w:hAnsi="仿宋_GB2312" w:eastAsia="仿宋_GB2312" w:cs="仿宋_GB2312"/>
          <w:color w:val="000000"/>
          <w:kern w:val="2"/>
          <w:sz w:val="32"/>
          <w:szCs w:val="32"/>
          <w:highlight w:val="none"/>
          <w:lang w:val="en-US" w:eastAsia="zh-CN" w:bidi="zh-CN"/>
        </w:rPr>
        <w:fldChar w:fldCharType="end"/>
      </w:r>
      <w:r>
        <w:rPr>
          <w:rFonts w:hint="eastAsia" w:ascii="仿宋_GB2312" w:hAnsi="仿宋_GB2312" w:eastAsia="仿宋_GB2312" w:cs="仿宋_GB2312"/>
          <w:color w:val="000000"/>
          <w:kern w:val="2"/>
          <w:sz w:val="32"/>
          <w:szCs w:val="32"/>
          <w:highlight w:val="none"/>
          <w:lang w:val="en-US" w:eastAsia="zh-CN" w:bidi="zh-CN"/>
        </w:rPr>
        <w:t>规则指引栏目查阅。</w:t>
      </w:r>
    </w:p>
    <w:p w14:paraId="3A5C7FD2">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both"/>
        <w:textAlignment w:val="auto"/>
        <w:rPr>
          <w:rFonts w:ascii="宋体" w:hAnsi="宋体" w:eastAsia="宋体" w:cs="仿宋_GB2312"/>
          <w:b/>
          <w:sz w:val="24"/>
          <w:szCs w:val="24"/>
        </w:rPr>
      </w:pPr>
      <w:r>
        <w:rPr>
          <w:rFonts w:hint="eastAsia" w:ascii="仿宋_GB2312" w:hAnsi="仿宋_GB2312" w:eastAsia="仿宋_GB2312" w:cs="仿宋_GB2312"/>
          <w:color w:val="000000"/>
          <w:kern w:val="2"/>
          <w:sz w:val="32"/>
          <w:szCs w:val="32"/>
          <w:highlight w:val="none"/>
          <w:lang w:val="en-US" w:eastAsia="zh-CN" w:bidi="zh-CN"/>
        </w:rPr>
        <w:t>（三）股东根据获取的服务密码或数字证书，可登录</w:t>
      </w:r>
      <w:r>
        <w:rPr>
          <w:rFonts w:hint="eastAsia" w:ascii="仿宋_GB2312" w:hAnsi="仿宋_GB2312" w:eastAsia="仿宋_GB2312" w:cs="仿宋_GB2312"/>
          <w:color w:val="000000"/>
          <w:kern w:val="2"/>
          <w:sz w:val="32"/>
          <w:szCs w:val="32"/>
          <w:highlight w:val="none"/>
          <w:lang w:val="en-US" w:eastAsia="zh-CN" w:bidi="zh-CN"/>
        </w:rPr>
        <w:fldChar w:fldCharType="begin"/>
      </w:r>
      <w:r>
        <w:rPr>
          <w:rFonts w:hint="eastAsia" w:ascii="仿宋_GB2312" w:hAnsi="仿宋_GB2312" w:eastAsia="仿宋_GB2312" w:cs="仿宋_GB2312"/>
          <w:color w:val="000000"/>
          <w:kern w:val="2"/>
          <w:sz w:val="32"/>
          <w:szCs w:val="32"/>
          <w:highlight w:val="none"/>
          <w:lang w:val="en-US" w:eastAsia="zh-CN" w:bidi="zh-CN"/>
        </w:rPr>
        <w:instrText xml:space="preserve"> HYPERLINK "http://wltp.cninfo.com.cn/" </w:instrText>
      </w:r>
      <w:r>
        <w:rPr>
          <w:rFonts w:hint="eastAsia" w:ascii="仿宋_GB2312" w:hAnsi="仿宋_GB2312" w:eastAsia="仿宋_GB2312" w:cs="仿宋_GB2312"/>
          <w:color w:val="000000"/>
          <w:kern w:val="2"/>
          <w:sz w:val="32"/>
          <w:szCs w:val="32"/>
          <w:highlight w:val="none"/>
          <w:lang w:val="en-US" w:eastAsia="zh-CN" w:bidi="zh-CN"/>
        </w:rPr>
        <w:fldChar w:fldCharType="separate"/>
      </w:r>
      <w:r>
        <w:rPr>
          <w:rFonts w:hint="eastAsia" w:ascii="仿宋_GB2312" w:hAnsi="仿宋_GB2312" w:eastAsia="仿宋_GB2312" w:cs="仿宋_GB2312"/>
          <w:color w:val="000000"/>
          <w:kern w:val="2"/>
          <w:sz w:val="32"/>
          <w:szCs w:val="32"/>
          <w:highlight w:val="none"/>
          <w:lang w:val="en-US" w:eastAsia="zh-CN" w:bidi="zh-CN"/>
        </w:rPr>
        <w:t>https://wltp.cninfo.com.cn</w:t>
      </w:r>
      <w:r>
        <w:rPr>
          <w:rFonts w:hint="eastAsia" w:ascii="仿宋_GB2312" w:hAnsi="仿宋_GB2312" w:eastAsia="仿宋_GB2312" w:cs="仿宋_GB2312"/>
          <w:color w:val="000000"/>
          <w:kern w:val="2"/>
          <w:sz w:val="32"/>
          <w:szCs w:val="32"/>
          <w:highlight w:val="none"/>
          <w:lang w:val="en-US" w:eastAsia="zh-CN" w:bidi="zh-CN"/>
        </w:rPr>
        <w:fldChar w:fldCharType="end"/>
      </w:r>
      <w:r>
        <w:rPr>
          <w:rFonts w:hint="eastAsia" w:ascii="仿宋_GB2312" w:hAnsi="仿宋_GB2312" w:eastAsia="仿宋_GB2312" w:cs="仿宋_GB2312"/>
          <w:color w:val="000000"/>
          <w:kern w:val="2"/>
          <w:sz w:val="32"/>
          <w:szCs w:val="32"/>
          <w:highlight w:val="none"/>
          <w:lang w:val="en-US" w:eastAsia="zh-CN" w:bidi="zh-CN"/>
        </w:rPr>
        <w:t>在规定时间内通过深交所互联网投票系统投票。</w:t>
      </w:r>
      <w:r>
        <w:rPr>
          <w:rFonts w:ascii="宋体" w:hAnsi="宋体" w:eastAsia="宋体" w:cs="Times New Roman"/>
          <w:sz w:val="24"/>
          <w:szCs w:val="24"/>
        </w:rPr>
        <w:br w:type="page"/>
      </w:r>
      <w:r>
        <w:rPr>
          <w:rFonts w:hint="eastAsia" w:ascii="仿宋_GB2312" w:hAnsi="仿宋_GB2312" w:eastAsia="仿宋_GB2312" w:cs="仿宋_GB2312"/>
          <w:b w:val="0"/>
          <w:bCs/>
          <w:sz w:val="24"/>
          <w:szCs w:val="24"/>
        </w:rPr>
        <w:t>附件2：</w:t>
      </w:r>
    </w:p>
    <w:p w14:paraId="06598993">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方正小标宋简体" w:hAnsi="宋体" w:eastAsia="方正小标宋简体" w:cs="方正小标宋简体"/>
          <w:b w:val="0"/>
          <w:w w:val="94"/>
          <w:kern w:val="2"/>
          <w:sz w:val="44"/>
          <w:szCs w:val="44"/>
          <w:lang w:val="en-US" w:bidi="ar-SA"/>
        </w:rPr>
      </w:pPr>
      <w:r>
        <w:rPr>
          <w:rFonts w:hint="eastAsia" w:ascii="方正小标宋简体" w:hAnsi="宋体" w:eastAsia="方正小标宋简体" w:cs="方正小标宋简体"/>
          <w:b w:val="0"/>
          <w:w w:val="94"/>
          <w:kern w:val="2"/>
          <w:sz w:val="44"/>
          <w:szCs w:val="44"/>
          <w:lang w:val="en-US" w:bidi="ar-SA"/>
        </w:rPr>
        <w:t>授权委托书</w:t>
      </w:r>
    </w:p>
    <w:p w14:paraId="26A76E5E">
      <w:pPr>
        <w:keepNext w:val="0"/>
        <w:keepLines w:val="0"/>
        <w:pageBreakBefore w:val="0"/>
        <w:widowControl w:val="0"/>
        <w:kinsoku/>
        <w:wordWrap/>
        <w:overflowPunct/>
        <w:topLinePunct w:val="0"/>
        <w:autoSpaceDE/>
        <w:autoSpaceDN/>
        <w:bidi w:val="0"/>
        <w:adjustRightInd w:val="0"/>
        <w:snapToGrid w:val="0"/>
        <w:spacing w:line="480" w:lineRule="exact"/>
        <w:ind w:left="-197" w:leftChars="-94" w:right="-313" w:rightChars="-149" w:firstLine="640" w:firstLineChars="200"/>
        <w:jc w:val="both"/>
        <w:textAlignment w:val="auto"/>
        <w:rPr>
          <w:rFonts w:ascii="宋体" w:hAnsi="Times New Roman" w:eastAsia="宋体" w:cs="宋体"/>
          <w:kern w:val="0"/>
          <w:szCs w:val="21"/>
        </w:rPr>
      </w:pPr>
      <w:r>
        <w:rPr>
          <w:rFonts w:hint="eastAsia" w:ascii="仿宋_GB2312" w:hAnsi="仿宋_GB2312" w:eastAsia="仿宋_GB2312" w:cs="仿宋_GB2312"/>
          <w:sz w:val="32"/>
          <w:szCs w:val="32"/>
        </w:rPr>
        <w:t>兹委托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先生（女士）代表</w:t>
      </w:r>
      <w:r>
        <w:rPr>
          <w:rFonts w:hint="eastAsia" w:ascii="仿宋_GB2312" w:hAnsi="仿宋_GB2312" w:eastAsia="仿宋_GB2312" w:cs="仿宋_GB2312"/>
          <w:sz w:val="32"/>
          <w:szCs w:val="32"/>
          <w:lang w:val="en-US" w:eastAsia="zh-CN"/>
        </w:rPr>
        <w:t>本人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或本单位</w:t>
      </w:r>
      <w:r>
        <w:rPr>
          <w:rFonts w:hint="eastAsia" w:ascii="仿宋_GB2312" w:hAnsi="仿宋_GB2312" w:eastAsia="仿宋_GB2312" w:cs="仿宋_GB2312"/>
          <w:sz w:val="32"/>
          <w:szCs w:val="32"/>
        </w:rPr>
        <w:t>）出席深圳经济特区房地产（集团）股份有限公司</w:t>
      </w:r>
      <w:r>
        <w:rPr>
          <w:rFonts w:hint="eastAsia" w:ascii="仿宋_GB2312" w:hAnsi="仿宋_GB2312" w:eastAsia="仿宋_GB2312" w:cs="仿宋_GB2312"/>
          <w:sz w:val="32"/>
          <w:szCs w:val="32"/>
          <w:lang w:eastAsia="zh-CN"/>
        </w:rPr>
        <w:t>2026年第二次临时股东会</w:t>
      </w:r>
      <w:r>
        <w:rPr>
          <w:rFonts w:hint="eastAsia" w:ascii="仿宋_GB2312" w:hAnsi="仿宋_GB2312" w:eastAsia="仿宋_GB2312" w:cs="仿宋_GB2312"/>
          <w:sz w:val="32"/>
          <w:szCs w:val="32"/>
        </w:rPr>
        <w:t>，并代表本人（</w:t>
      </w:r>
      <w:r>
        <w:rPr>
          <w:rFonts w:hint="eastAsia" w:ascii="仿宋_GB2312" w:hAnsi="仿宋_GB2312" w:eastAsia="仿宋_GB2312" w:cs="仿宋_GB2312"/>
          <w:sz w:val="32"/>
          <w:szCs w:val="32"/>
          <w:lang w:val="en-US" w:eastAsia="zh-CN"/>
        </w:rPr>
        <w:t>或本单位</w:t>
      </w:r>
      <w:r>
        <w:rPr>
          <w:rFonts w:hint="eastAsia" w:ascii="仿宋_GB2312" w:hAnsi="仿宋_GB2312" w:eastAsia="仿宋_GB2312" w:cs="仿宋_GB2312"/>
          <w:sz w:val="32"/>
          <w:szCs w:val="32"/>
        </w:rPr>
        <w:t>）依照以下指示对下列提案投票</w:t>
      </w:r>
      <w:r>
        <w:rPr>
          <w:rFonts w:hint="eastAsia" w:ascii="仿宋_GB2312" w:hAnsi="仿宋_GB2312" w:eastAsia="仿宋_GB2312" w:cs="仿宋_GB2312"/>
          <w:sz w:val="32"/>
          <w:szCs w:val="32"/>
          <w:lang w:eastAsia="zh-CN"/>
        </w:rPr>
        <w:t>：</w:t>
      </w:r>
    </w:p>
    <w:tbl>
      <w:tblPr>
        <w:tblStyle w:val="5"/>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4124"/>
        <w:gridCol w:w="1669"/>
        <w:gridCol w:w="747"/>
        <w:gridCol w:w="709"/>
        <w:gridCol w:w="709"/>
      </w:tblGrid>
      <w:tr w14:paraId="7259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1483" w:type="dxa"/>
            <w:vMerge w:val="restart"/>
            <w:tcBorders>
              <w:top w:val="single" w:color="auto" w:sz="4" w:space="0"/>
              <w:left w:val="single" w:color="auto" w:sz="4" w:space="0"/>
              <w:bottom w:val="single" w:color="auto" w:sz="4" w:space="0"/>
              <w:right w:val="single" w:color="auto" w:sz="4" w:space="0"/>
            </w:tcBorders>
            <w:shd w:val="pct10" w:color="auto" w:fill="auto"/>
            <w:vAlign w:val="center"/>
          </w:tcPr>
          <w:p w14:paraId="24245454">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提案编码</w:t>
            </w:r>
          </w:p>
        </w:tc>
        <w:tc>
          <w:tcPr>
            <w:tcW w:w="4124" w:type="dxa"/>
            <w:vMerge w:val="restart"/>
            <w:tcBorders>
              <w:top w:val="single" w:color="auto" w:sz="4" w:space="0"/>
              <w:left w:val="single" w:color="auto" w:sz="4" w:space="0"/>
              <w:bottom w:val="single" w:color="auto" w:sz="4" w:space="0"/>
              <w:right w:val="single" w:color="auto" w:sz="4" w:space="0"/>
            </w:tcBorders>
            <w:shd w:val="pct10" w:color="auto" w:fill="auto"/>
            <w:vAlign w:val="center"/>
          </w:tcPr>
          <w:p w14:paraId="4E3DB61C">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提案名称</w:t>
            </w:r>
          </w:p>
        </w:tc>
        <w:tc>
          <w:tcPr>
            <w:tcW w:w="1669" w:type="dxa"/>
            <w:tcBorders>
              <w:top w:val="single" w:color="auto" w:sz="4" w:space="0"/>
              <w:left w:val="single" w:color="auto" w:sz="4" w:space="0"/>
              <w:bottom w:val="single" w:color="auto" w:sz="4" w:space="0"/>
              <w:right w:val="single" w:color="auto" w:sz="4" w:space="0"/>
            </w:tcBorders>
            <w:shd w:val="pct10" w:color="auto" w:fill="auto"/>
          </w:tcPr>
          <w:p w14:paraId="6ED9B090">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c>
          <w:tcPr>
            <w:tcW w:w="747" w:type="dxa"/>
            <w:vMerge w:val="restart"/>
            <w:tcBorders>
              <w:top w:val="single" w:color="auto" w:sz="4" w:space="0"/>
              <w:left w:val="single" w:color="auto" w:sz="4" w:space="0"/>
              <w:right w:val="single" w:color="auto" w:sz="4" w:space="0"/>
            </w:tcBorders>
            <w:shd w:val="pct10" w:color="auto" w:fill="auto"/>
            <w:vAlign w:val="center"/>
          </w:tcPr>
          <w:p w14:paraId="48E9F363">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同意</w:t>
            </w:r>
          </w:p>
        </w:tc>
        <w:tc>
          <w:tcPr>
            <w:tcW w:w="709" w:type="dxa"/>
            <w:vMerge w:val="restart"/>
            <w:tcBorders>
              <w:top w:val="single" w:color="auto" w:sz="4" w:space="0"/>
              <w:left w:val="single" w:color="auto" w:sz="4" w:space="0"/>
              <w:right w:val="single" w:color="auto" w:sz="4" w:space="0"/>
            </w:tcBorders>
            <w:shd w:val="pct10" w:color="auto" w:fill="auto"/>
            <w:vAlign w:val="center"/>
          </w:tcPr>
          <w:p w14:paraId="744FB95E">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反对</w:t>
            </w:r>
          </w:p>
        </w:tc>
        <w:tc>
          <w:tcPr>
            <w:tcW w:w="709" w:type="dxa"/>
            <w:vMerge w:val="restart"/>
            <w:tcBorders>
              <w:top w:val="single" w:color="auto" w:sz="4" w:space="0"/>
              <w:left w:val="single" w:color="auto" w:sz="4" w:space="0"/>
              <w:right w:val="single" w:color="auto" w:sz="4" w:space="0"/>
            </w:tcBorders>
            <w:shd w:val="pct10" w:color="auto" w:fill="auto"/>
            <w:vAlign w:val="center"/>
          </w:tcPr>
          <w:p w14:paraId="20D9A273">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弃权</w:t>
            </w:r>
          </w:p>
        </w:tc>
      </w:tr>
      <w:tr w14:paraId="2326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4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A2372C">
            <w:pPr>
              <w:widowControl/>
              <w:jc w:val="left"/>
              <w:rPr>
                <w:rFonts w:hint="eastAsia" w:ascii="仿宋_GB2312" w:hAnsi="仿宋_GB2312" w:eastAsia="仿宋_GB2312" w:cs="仿宋_GB2312"/>
                <w:sz w:val="24"/>
                <w:szCs w:val="24"/>
              </w:rPr>
            </w:pPr>
          </w:p>
        </w:tc>
        <w:tc>
          <w:tcPr>
            <w:tcW w:w="412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0BF725">
            <w:pPr>
              <w:widowControl/>
              <w:jc w:val="left"/>
              <w:rPr>
                <w:rFonts w:hint="eastAsia" w:ascii="仿宋_GB2312" w:hAnsi="仿宋_GB2312" w:eastAsia="仿宋_GB2312" w:cs="仿宋_GB2312"/>
                <w:b/>
                <w:sz w:val="24"/>
                <w:szCs w:val="24"/>
              </w:rPr>
            </w:pPr>
          </w:p>
        </w:tc>
        <w:tc>
          <w:tcPr>
            <w:tcW w:w="1669" w:type="dxa"/>
            <w:tcBorders>
              <w:top w:val="single" w:color="auto" w:sz="4" w:space="0"/>
              <w:left w:val="single" w:color="auto" w:sz="4" w:space="0"/>
              <w:bottom w:val="single" w:color="auto" w:sz="4" w:space="0"/>
              <w:right w:val="single" w:color="auto" w:sz="4" w:space="0"/>
            </w:tcBorders>
            <w:shd w:val="pct10" w:color="auto" w:fill="auto"/>
          </w:tcPr>
          <w:p w14:paraId="66D59AC7">
            <w:pPr>
              <w:snapToGrid w:val="0"/>
              <w:jc w:val="center"/>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该列打勾的栏目可以投票</w:t>
            </w:r>
          </w:p>
        </w:tc>
        <w:tc>
          <w:tcPr>
            <w:tcW w:w="747" w:type="dxa"/>
            <w:vMerge w:val="continue"/>
            <w:tcBorders>
              <w:left w:val="single" w:color="auto" w:sz="4" w:space="0"/>
              <w:bottom w:val="single" w:color="auto" w:sz="4" w:space="0"/>
              <w:right w:val="single" w:color="auto" w:sz="4" w:space="0"/>
            </w:tcBorders>
          </w:tcPr>
          <w:p w14:paraId="71374664">
            <w:pPr>
              <w:jc w:val="center"/>
              <w:rPr>
                <w:rFonts w:hint="eastAsia" w:ascii="仿宋_GB2312" w:hAnsi="仿宋_GB2312" w:eastAsia="仿宋_GB2312" w:cs="仿宋_GB2312"/>
                <w:sz w:val="24"/>
                <w:szCs w:val="24"/>
              </w:rPr>
            </w:pPr>
          </w:p>
        </w:tc>
        <w:tc>
          <w:tcPr>
            <w:tcW w:w="709" w:type="dxa"/>
            <w:vMerge w:val="continue"/>
            <w:tcBorders>
              <w:left w:val="single" w:color="auto" w:sz="4" w:space="0"/>
              <w:bottom w:val="single" w:color="auto" w:sz="4" w:space="0"/>
              <w:right w:val="single" w:color="auto" w:sz="4" w:space="0"/>
            </w:tcBorders>
          </w:tcPr>
          <w:p w14:paraId="50624014">
            <w:pPr>
              <w:jc w:val="center"/>
              <w:rPr>
                <w:rFonts w:hint="eastAsia" w:ascii="仿宋_GB2312" w:hAnsi="仿宋_GB2312" w:eastAsia="仿宋_GB2312" w:cs="仿宋_GB2312"/>
                <w:sz w:val="24"/>
                <w:szCs w:val="24"/>
              </w:rPr>
            </w:pPr>
          </w:p>
        </w:tc>
        <w:tc>
          <w:tcPr>
            <w:tcW w:w="709" w:type="dxa"/>
            <w:vMerge w:val="continue"/>
            <w:tcBorders>
              <w:left w:val="single" w:color="auto" w:sz="4" w:space="0"/>
              <w:bottom w:val="single" w:color="auto" w:sz="4" w:space="0"/>
              <w:right w:val="single" w:color="auto" w:sz="4" w:space="0"/>
            </w:tcBorders>
          </w:tcPr>
          <w:p w14:paraId="0888B834">
            <w:pPr>
              <w:jc w:val="center"/>
              <w:rPr>
                <w:rFonts w:hint="eastAsia" w:ascii="仿宋_GB2312" w:hAnsi="仿宋_GB2312" w:eastAsia="仿宋_GB2312" w:cs="仿宋_GB2312"/>
                <w:sz w:val="24"/>
                <w:szCs w:val="24"/>
              </w:rPr>
            </w:pPr>
          </w:p>
        </w:tc>
      </w:tr>
      <w:tr w14:paraId="6B9C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483" w:type="dxa"/>
            <w:tcBorders>
              <w:top w:val="single" w:color="auto" w:sz="4" w:space="0"/>
              <w:left w:val="single" w:color="auto" w:sz="4" w:space="0"/>
              <w:bottom w:val="single" w:color="auto" w:sz="4" w:space="0"/>
              <w:right w:val="single" w:color="auto" w:sz="4" w:space="0"/>
            </w:tcBorders>
            <w:shd w:val="clear" w:color="auto" w:fill="auto"/>
            <w:vAlign w:val="top"/>
          </w:tcPr>
          <w:p w14:paraId="71AB36E2">
            <w:pPr>
              <w:spacing w:before="0" w:after="0" w:line="400" w:lineRule="exact"/>
              <w:jc w:val="center"/>
              <w:rPr>
                <w:rFonts w:hint="eastAsia" w:ascii="宋体" w:hAnsi="宋体" w:eastAsia="宋体" w:cs="Times New Roman"/>
                <w:kern w:val="2"/>
                <w:sz w:val="21"/>
                <w:szCs w:val="21"/>
                <w:lang w:val="en-US" w:eastAsia="zh-CN" w:bidi="ar-SA"/>
              </w:rPr>
            </w:pPr>
            <w:r>
              <w:rPr>
                <w:rFonts w:hint="eastAsia" w:ascii="仿宋_GB2312" w:hAnsi="仿宋_GB2312" w:eastAsia="仿宋_GB2312" w:cs="仿宋_GB2312"/>
                <w:sz w:val="24"/>
                <w:szCs w:val="24"/>
              </w:rPr>
              <w:t>100</w:t>
            </w:r>
          </w:p>
        </w:tc>
        <w:tc>
          <w:tcPr>
            <w:tcW w:w="4124" w:type="dxa"/>
            <w:tcBorders>
              <w:top w:val="single" w:color="auto" w:sz="4" w:space="0"/>
              <w:left w:val="single" w:color="auto" w:sz="4" w:space="0"/>
              <w:bottom w:val="single" w:color="auto" w:sz="4" w:space="0"/>
              <w:right w:val="single" w:color="auto" w:sz="4" w:space="0"/>
            </w:tcBorders>
            <w:shd w:val="clear" w:color="auto" w:fill="auto"/>
            <w:vAlign w:val="top"/>
          </w:tcPr>
          <w:p w14:paraId="6A80B7A4">
            <w:pPr>
              <w:spacing w:before="0" w:after="0" w:line="400" w:lineRule="exact"/>
              <w:jc w:val="left"/>
              <w:rPr>
                <w:rFonts w:hint="eastAsia" w:ascii="宋体" w:hAnsi="宋体" w:eastAsia="宋体" w:cs="Times New Roman"/>
                <w:kern w:val="2"/>
                <w:sz w:val="21"/>
                <w:szCs w:val="21"/>
                <w:lang w:val="en-US" w:eastAsia="zh-CN" w:bidi="ar-SA"/>
              </w:rPr>
            </w:pPr>
            <w:r>
              <w:rPr>
                <w:rFonts w:hint="eastAsia" w:ascii="仿宋_GB2312" w:hAnsi="仿宋_GB2312" w:eastAsia="仿宋_GB2312" w:cs="仿宋_GB2312"/>
                <w:color w:val="000000"/>
                <w:sz w:val="24"/>
                <w:szCs w:val="24"/>
                <w:highlight w:val="none"/>
                <w:lang w:val="zh-CN" w:eastAsia="zh-CN"/>
              </w:rPr>
              <w:t>总议案：除累积投票提案外的所有提案</w:t>
            </w:r>
          </w:p>
        </w:tc>
        <w:tc>
          <w:tcPr>
            <w:tcW w:w="1669" w:type="dxa"/>
            <w:tcBorders>
              <w:top w:val="single" w:color="auto" w:sz="4" w:space="0"/>
              <w:left w:val="single" w:color="auto" w:sz="4" w:space="0"/>
              <w:bottom w:val="single" w:color="auto" w:sz="4" w:space="0"/>
              <w:right w:val="single" w:color="auto" w:sz="4" w:space="0"/>
            </w:tcBorders>
            <w:shd w:val="clear" w:color="auto" w:fill="auto"/>
            <w:vAlign w:val="top"/>
          </w:tcPr>
          <w:p w14:paraId="184FF43F">
            <w:pPr>
              <w:jc w:val="center"/>
              <w:rPr>
                <w:rFonts w:hint="eastAsia" w:ascii="宋体" w:hAnsi="宋体" w:eastAsia="宋体" w:cs="Times New Roman"/>
                <w:kern w:val="2"/>
                <w:sz w:val="21"/>
                <w:szCs w:val="21"/>
                <w:lang w:val="en-US" w:eastAsia="zh-CN" w:bidi="ar-SA"/>
              </w:rPr>
            </w:pPr>
            <w:r>
              <w:rPr>
                <w:rFonts w:ascii="宋体" w:hAnsi="宋体" w:eastAsia="宋体" w:cs="Times New Roman"/>
                <w:szCs w:val="21"/>
              </w:rPr>
              <w:t>√</w:t>
            </w:r>
          </w:p>
        </w:tc>
        <w:tc>
          <w:tcPr>
            <w:tcW w:w="747" w:type="dxa"/>
            <w:tcBorders>
              <w:left w:val="single" w:color="auto" w:sz="4" w:space="0"/>
              <w:bottom w:val="single" w:color="auto" w:sz="4" w:space="0"/>
              <w:right w:val="single" w:color="auto" w:sz="4" w:space="0"/>
            </w:tcBorders>
          </w:tcPr>
          <w:p w14:paraId="285634BA">
            <w:pPr>
              <w:jc w:val="center"/>
              <w:rPr>
                <w:rFonts w:hint="eastAsia" w:ascii="仿宋_GB2312" w:hAnsi="仿宋_GB2312" w:eastAsia="仿宋_GB2312" w:cs="仿宋_GB2312"/>
                <w:sz w:val="24"/>
                <w:szCs w:val="24"/>
              </w:rPr>
            </w:pPr>
          </w:p>
        </w:tc>
        <w:tc>
          <w:tcPr>
            <w:tcW w:w="709" w:type="dxa"/>
            <w:tcBorders>
              <w:left w:val="single" w:color="auto" w:sz="4" w:space="0"/>
              <w:bottom w:val="single" w:color="auto" w:sz="4" w:space="0"/>
              <w:right w:val="single" w:color="auto" w:sz="4" w:space="0"/>
            </w:tcBorders>
          </w:tcPr>
          <w:p w14:paraId="15DD3D86">
            <w:pPr>
              <w:jc w:val="center"/>
              <w:rPr>
                <w:rFonts w:hint="eastAsia" w:ascii="仿宋_GB2312" w:hAnsi="仿宋_GB2312" w:eastAsia="仿宋_GB2312" w:cs="仿宋_GB2312"/>
                <w:sz w:val="24"/>
                <w:szCs w:val="24"/>
              </w:rPr>
            </w:pPr>
          </w:p>
        </w:tc>
        <w:tc>
          <w:tcPr>
            <w:tcW w:w="709" w:type="dxa"/>
            <w:tcBorders>
              <w:left w:val="single" w:color="auto" w:sz="4" w:space="0"/>
              <w:bottom w:val="single" w:color="auto" w:sz="4" w:space="0"/>
              <w:right w:val="single" w:color="auto" w:sz="4" w:space="0"/>
            </w:tcBorders>
          </w:tcPr>
          <w:p w14:paraId="407E74DD">
            <w:pPr>
              <w:jc w:val="center"/>
              <w:rPr>
                <w:rFonts w:hint="eastAsia" w:ascii="仿宋_GB2312" w:hAnsi="仿宋_GB2312" w:eastAsia="仿宋_GB2312" w:cs="仿宋_GB2312"/>
                <w:sz w:val="24"/>
                <w:szCs w:val="24"/>
              </w:rPr>
            </w:pPr>
          </w:p>
        </w:tc>
      </w:tr>
      <w:tr w14:paraId="1150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944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D214322">
            <w:pPr>
              <w:jc w:val="left"/>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highlight w:val="none"/>
                <w:lang w:val="en-US" w:eastAsia="zh-CN"/>
              </w:rPr>
              <w:t>非</w:t>
            </w:r>
            <w:r>
              <w:rPr>
                <w:rFonts w:hint="eastAsia" w:ascii="仿宋_GB2312" w:hAnsi="仿宋_GB2312" w:eastAsia="仿宋_GB2312" w:cs="仿宋_GB2312"/>
                <w:b/>
                <w:bCs/>
                <w:color w:val="000000"/>
                <w:sz w:val="24"/>
                <w:szCs w:val="24"/>
                <w:highlight w:val="none"/>
                <w:lang w:val="zh-CN" w:eastAsia="zh-CN"/>
              </w:rPr>
              <w:t>累积投票提案</w:t>
            </w:r>
          </w:p>
        </w:tc>
      </w:tr>
      <w:tr w14:paraId="35C7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7958A31D">
            <w:pPr>
              <w:spacing w:before="0" w:after="0" w:line="4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1.00</w:t>
            </w: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51BB2D1C">
            <w:pPr>
              <w:spacing w:before="0" w:after="0" w:line="400" w:lineRule="exact"/>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《关于制定&lt;董事和高级管理人员薪酬管理制度&gt;的议案》</w:t>
            </w:r>
          </w:p>
        </w:tc>
        <w:tc>
          <w:tcPr>
            <w:tcW w:w="1669" w:type="dxa"/>
            <w:tcBorders>
              <w:top w:val="single" w:color="auto" w:sz="4" w:space="0"/>
              <w:left w:val="single" w:color="auto" w:sz="4" w:space="0"/>
              <w:bottom w:val="single" w:color="auto" w:sz="4" w:space="0"/>
              <w:right w:val="single" w:color="auto" w:sz="4" w:space="0"/>
            </w:tcBorders>
            <w:vAlign w:val="center"/>
          </w:tcPr>
          <w:p w14:paraId="79CE747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47" w:type="dxa"/>
            <w:tcBorders>
              <w:top w:val="single" w:color="auto" w:sz="4" w:space="0"/>
              <w:left w:val="single" w:color="auto" w:sz="4" w:space="0"/>
              <w:bottom w:val="single" w:color="auto" w:sz="4" w:space="0"/>
              <w:right w:val="single" w:color="auto" w:sz="4" w:space="0"/>
            </w:tcBorders>
            <w:vAlign w:val="center"/>
          </w:tcPr>
          <w:p w14:paraId="619ACC32">
            <w:pPr>
              <w:jc w:val="center"/>
              <w:rPr>
                <w:rFonts w:hint="eastAsia" w:ascii="仿宋_GB2312" w:hAnsi="仿宋_GB2312" w:eastAsia="仿宋_GB2312" w:cs="仿宋_GB2312"/>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7BA4A52">
            <w:pPr>
              <w:jc w:val="center"/>
              <w:rPr>
                <w:rFonts w:hint="eastAsia" w:ascii="仿宋_GB2312" w:hAnsi="仿宋_GB2312" w:eastAsia="仿宋_GB2312" w:cs="仿宋_GB2312"/>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C6E3396">
            <w:pPr>
              <w:jc w:val="center"/>
              <w:rPr>
                <w:rFonts w:hint="eastAsia" w:ascii="仿宋_GB2312" w:hAnsi="仿宋_GB2312" w:eastAsia="仿宋_GB2312" w:cs="仿宋_GB2312"/>
                <w:sz w:val="24"/>
                <w:szCs w:val="24"/>
              </w:rPr>
            </w:pPr>
          </w:p>
        </w:tc>
      </w:tr>
      <w:tr w14:paraId="6543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470A538A">
            <w:pPr>
              <w:spacing w:before="0" w:after="0" w:line="400" w:lineRule="exact"/>
              <w:jc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2.00</w:t>
            </w:r>
          </w:p>
        </w:tc>
        <w:tc>
          <w:tcPr>
            <w:tcW w:w="4124" w:type="dxa"/>
            <w:tcBorders>
              <w:top w:val="single" w:color="auto" w:sz="4" w:space="0"/>
              <w:left w:val="single" w:color="auto" w:sz="4" w:space="0"/>
              <w:bottom w:val="single" w:color="auto" w:sz="4" w:space="0"/>
              <w:right w:val="single" w:color="auto" w:sz="4" w:space="0"/>
            </w:tcBorders>
            <w:shd w:val="clear" w:color="auto" w:fill="auto"/>
            <w:vAlign w:val="center"/>
          </w:tcPr>
          <w:p w14:paraId="20006DD9">
            <w:pPr>
              <w:spacing w:before="0" w:after="0" w:line="400" w:lineRule="exact"/>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《关于制定&lt;2026年度董事和高级管理人员薪酬方案&gt;的议案》</w:t>
            </w:r>
          </w:p>
        </w:tc>
        <w:tc>
          <w:tcPr>
            <w:tcW w:w="1669" w:type="dxa"/>
            <w:tcBorders>
              <w:top w:val="single" w:color="auto" w:sz="4" w:space="0"/>
              <w:left w:val="single" w:color="auto" w:sz="4" w:space="0"/>
              <w:bottom w:val="single" w:color="auto" w:sz="4" w:space="0"/>
              <w:right w:val="single" w:color="auto" w:sz="4" w:space="0"/>
            </w:tcBorders>
            <w:vAlign w:val="center"/>
          </w:tcPr>
          <w:p w14:paraId="24BADA3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47" w:type="dxa"/>
            <w:tcBorders>
              <w:top w:val="single" w:color="auto" w:sz="4" w:space="0"/>
              <w:left w:val="single" w:color="auto" w:sz="4" w:space="0"/>
              <w:bottom w:val="single" w:color="auto" w:sz="4" w:space="0"/>
              <w:right w:val="single" w:color="auto" w:sz="4" w:space="0"/>
            </w:tcBorders>
            <w:vAlign w:val="center"/>
          </w:tcPr>
          <w:p w14:paraId="2FE889D9">
            <w:pPr>
              <w:jc w:val="center"/>
              <w:rPr>
                <w:rFonts w:hint="eastAsia" w:ascii="仿宋_GB2312" w:hAnsi="仿宋_GB2312" w:eastAsia="仿宋_GB2312" w:cs="仿宋_GB2312"/>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41C752CF">
            <w:pPr>
              <w:jc w:val="center"/>
              <w:rPr>
                <w:rFonts w:hint="eastAsia" w:ascii="仿宋_GB2312" w:hAnsi="仿宋_GB2312" w:eastAsia="仿宋_GB2312" w:cs="仿宋_GB2312"/>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1FF084F3">
            <w:pPr>
              <w:jc w:val="center"/>
              <w:rPr>
                <w:rFonts w:hint="eastAsia" w:ascii="仿宋_GB2312" w:hAnsi="仿宋_GB2312" w:eastAsia="仿宋_GB2312" w:cs="仿宋_GB2312"/>
                <w:sz w:val="24"/>
                <w:szCs w:val="24"/>
              </w:rPr>
            </w:pPr>
          </w:p>
        </w:tc>
      </w:tr>
    </w:tbl>
    <w:p w14:paraId="74144E11">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注：委托人应选择同意、反对、弃权并在相应表格内划“ √ ”，三者中只能选其一。选择一项以上或未选择的，视为</w:t>
      </w:r>
      <w:r>
        <w:rPr>
          <w:rFonts w:hint="eastAsia" w:ascii="仿宋_GB2312" w:hAnsi="仿宋_GB2312" w:eastAsia="仿宋_GB2312" w:cs="仿宋_GB2312"/>
          <w:sz w:val="24"/>
          <w:szCs w:val="24"/>
        </w:rPr>
        <w:t>受托人可以按自己的意愿投票。</w:t>
      </w:r>
    </w:p>
    <w:p w14:paraId="4BAFE3B3">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rPr>
      </w:pPr>
    </w:p>
    <w:p w14:paraId="643F7F95">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委托人证券账号：</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持股数：</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股</w:t>
      </w:r>
    </w:p>
    <w:p w14:paraId="35110035">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委托人身份证件号码（法人股东营业执照号码）：</w:t>
      </w:r>
    </w:p>
    <w:p w14:paraId="233EEBC9">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default" w:ascii="仿宋_GB2312" w:hAnsi="仿宋_GB2312" w:eastAsia="仿宋_GB2312" w:cs="仿宋_GB2312"/>
          <w:kern w:val="0"/>
          <w:sz w:val="32"/>
          <w:szCs w:val="32"/>
          <w:u w:val="single"/>
          <w:lang w:val="en-US" w:eastAsia="zh-CN"/>
        </w:rPr>
      </w:pPr>
      <w:r>
        <w:rPr>
          <w:rFonts w:hint="eastAsia" w:ascii="仿宋_GB2312" w:hAnsi="仿宋_GB2312" w:eastAsia="仿宋_GB2312" w:cs="仿宋_GB2312"/>
          <w:kern w:val="0"/>
          <w:sz w:val="32"/>
          <w:szCs w:val="32"/>
          <w:u w:val="single"/>
          <w:lang w:val="en-US" w:eastAsia="zh-CN"/>
        </w:rPr>
        <w:t xml:space="preserve">                                                       </w:t>
      </w:r>
    </w:p>
    <w:p w14:paraId="462C9BA2">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委托人持股种类：□ A 股    □ B 股</w:t>
      </w:r>
    </w:p>
    <w:p w14:paraId="1AA768E1">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 xml:space="preserve">受托人（签字）： </w:t>
      </w:r>
      <w:r>
        <w:rPr>
          <w:rFonts w:hint="eastAsia" w:ascii="仿宋_GB2312" w:hAnsi="仿宋_GB2312" w:eastAsia="仿宋_GB2312" w:cs="仿宋_GB2312"/>
          <w:kern w:val="0"/>
          <w:sz w:val="32"/>
          <w:szCs w:val="32"/>
          <w:u w:val="single"/>
        </w:rPr>
        <w:t xml:space="preserve">                                              </w:t>
      </w:r>
    </w:p>
    <w:p w14:paraId="7707D84E">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u w:val="single"/>
        </w:rPr>
      </w:pPr>
      <w:r>
        <w:rPr>
          <w:rFonts w:hint="eastAsia" w:ascii="仿宋_GB2312" w:hAnsi="仿宋_GB2312" w:eastAsia="仿宋_GB2312" w:cs="仿宋_GB2312"/>
          <w:kern w:val="0"/>
          <w:sz w:val="32"/>
          <w:szCs w:val="32"/>
        </w:rPr>
        <w:t>受托人身份证件号码：</w:t>
      </w:r>
      <w:r>
        <w:rPr>
          <w:rFonts w:hint="eastAsia" w:ascii="仿宋_GB2312" w:hAnsi="仿宋_GB2312" w:eastAsia="仿宋_GB2312" w:cs="仿宋_GB2312"/>
          <w:kern w:val="0"/>
          <w:sz w:val="32"/>
          <w:szCs w:val="32"/>
          <w:u w:val="single"/>
        </w:rPr>
        <w:t xml:space="preserve">                                           </w:t>
      </w:r>
    </w:p>
    <w:p w14:paraId="3E4702F7">
      <w:pPr>
        <w:keepNext w:val="0"/>
        <w:keepLines w:val="0"/>
        <w:pageBreakBefore w:val="0"/>
        <w:widowControl w:val="0"/>
        <w:kinsoku/>
        <w:wordWrap/>
        <w:overflowPunct/>
        <w:topLinePunct w:val="0"/>
        <w:autoSpaceDE w:val="0"/>
        <w:autoSpaceDN w:val="0"/>
        <w:bidi w:val="0"/>
        <w:adjustRightInd w:val="0"/>
        <w:snapToGrid w:val="0"/>
        <w:spacing w:line="480" w:lineRule="exact"/>
        <w:ind w:left="-181" w:leftChars="-94" w:right="-313" w:rightChars="-149" w:hanging="16" w:hangingChars="5"/>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本委托书有效期自签署日至本次股东会结束。</w:t>
      </w:r>
    </w:p>
    <w:p w14:paraId="0FCAE982">
      <w:pPr>
        <w:keepNext w:val="0"/>
        <w:keepLines w:val="0"/>
        <w:pageBreakBefore w:val="0"/>
        <w:widowControl w:val="0"/>
        <w:kinsoku/>
        <w:wordWrap/>
        <w:overflowPunct/>
        <w:topLinePunct w:val="0"/>
        <w:autoSpaceDE w:val="0"/>
        <w:autoSpaceDN w:val="0"/>
        <w:bidi w:val="0"/>
        <w:adjustRightInd w:val="0"/>
        <w:snapToGrid w:val="0"/>
        <w:spacing w:line="560" w:lineRule="exact"/>
        <w:ind w:right="482" w:firstLine="1920" w:firstLineChars="600"/>
        <w:jc w:val="both"/>
        <w:textAlignment w:val="auto"/>
        <w:rPr>
          <w:rFonts w:hint="eastAsia" w:ascii="仿宋_GB2312" w:hAnsi="仿宋_GB2312" w:eastAsia="仿宋_GB2312" w:cs="仿宋_GB2312"/>
          <w:kern w:val="0"/>
          <w:sz w:val="32"/>
          <w:szCs w:val="32"/>
        </w:rPr>
      </w:pPr>
    </w:p>
    <w:p w14:paraId="7BC7948F">
      <w:pPr>
        <w:keepNext w:val="0"/>
        <w:keepLines w:val="0"/>
        <w:pageBreakBefore w:val="0"/>
        <w:widowControl w:val="0"/>
        <w:kinsoku/>
        <w:wordWrap/>
        <w:overflowPunct/>
        <w:topLinePunct w:val="0"/>
        <w:autoSpaceDE w:val="0"/>
        <w:autoSpaceDN w:val="0"/>
        <w:bidi w:val="0"/>
        <w:adjustRightInd w:val="0"/>
        <w:snapToGrid w:val="0"/>
        <w:spacing w:line="560" w:lineRule="exact"/>
        <w:ind w:right="482" w:firstLine="1920" w:firstLineChars="6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委托人签字（法人股东加盖公章）：</w:t>
      </w:r>
    </w:p>
    <w:p w14:paraId="01003E1B">
      <w:pPr>
        <w:keepNext w:val="0"/>
        <w:keepLines w:val="0"/>
        <w:pageBreakBefore w:val="0"/>
        <w:widowControl w:val="0"/>
        <w:kinsoku/>
        <w:wordWrap/>
        <w:overflowPunct/>
        <w:topLinePunct w:val="0"/>
        <w:autoSpaceDE w:val="0"/>
        <w:autoSpaceDN w:val="0"/>
        <w:bidi w:val="0"/>
        <w:adjustRightInd w:val="0"/>
        <w:snapToGrid w:val="0"/>
        <w:spacing w:line="560" w:lineRule="exact"/>
        <w:ind w:right="482" w:firstLine="1920" w:firstLineChars="6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委托日期：</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年   月   日</w:t>
      </w:r>
    </w:p>
    <w:sectPr>
      <w:headerReference r:id="rId3" w:type="default"/>
      <w:footerReference r:id="rId4" w:type="default"/>
      <w:footerReference r:id="rId5" w:type="even"/>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3BC2">
    <w:pPr>
      <w:pStyle w:val="2"/>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01577B51">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4AAC4">
    <w:pPr>
      <w:pStyle w:val="2"/>
      <w:framePr w:wrap="around" w:vAnchor="text" w:hAnchor="margin" w:xAlign="center" w:y="1"/>
      <w:rPr>
        <w:rStyle w:val="8"/>
      </w:rPr>
    </w:pPr>
    <w:r>
      <w:fldChar w:fldCharType="begin"/>
    </w:r>
    <w:r>
      <w:rPr>
        <w:rStyle w:val="8"/>
      </w:rPr>
      <w:instrText xml:space="preserve">PAGE  </w:instrText>
    </w:r>
    <w:r>
      <w:fldChar w:fldCharType="end"/>
    </w:r>
  </w:p>
  <w:p w14:paraId="673C2DB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8F9E5">
    <w:pPr>
      <w:pStyle w:val="3"/>
      <w:jc w:val="both"/>
    </w:pPr>
    <w:r>
      <w:pict>
        <v:shape id="_x0000_i1025" o:spt="75" type="#_x0000_t75" style="height:41.95pt;width:41.95pt;" filled="f" o:preferrelative="t" stroked="f" coordsize="21600,21600">
          <v:path/>
          <v:fill on="f" focussize="0,0"/>
          <v:stroke on="f" joinstyle="miter"/>
          <v:imagedata r:id="rId1" o:title="LOGO2012"/>
          <o:lock v:ext="edit" aspectratio="t"/>
          <w10:wrap type="none"/>
          <w10:anchorlock/>
        </v:shape>
      </w:pict>
    </w:r>
    <w:r>
      <w:t xml:space="preserve">                                   </w:t>
    </w:r>
    <w:r>
      <w:rPr>
        <w:rFonts w:hint="eastAsia"/>
      </w:rPr>
      <w:t xml:space="preserve">  </w:t>
    </w:r>
    <w:r>
      <w:t xml:space="preserve">        </w:t>
    </w:r>
    <w:r>
      <w:rPr>
        <w:rFonts w:hint="eastAsia" w:cs="宋体"/>
      </w:rPr>
      <w:t>深圳经济特区房地产（集团）股份有限公司</w:t>
    </w:r>
  </w:p>
  <w:p w14:paraId="7E61A6CF">
    <w:pPr>
      <w:pStyle w:val="3"/>
      <w:jc w:val="right"/>
    </w:pPr>
    <w:r>
      <w:t xml:space="preserve">                            Shenzhen Special Economic Zone Real Estate &amp; Properties (Group) Co.,Ltd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8520E3"/>
    <w:rsid w:val="00001532"/>
    <w:rsid w:val="000075D0"/>
    <w:rsid w:val="000353ED"/>
    <w:rsid w:val="000532BE"/>
    <w:rsid w:val="001B60D2"/>
    <w:rsid w:val="00216698"/>
    <w:rsid w:val="00222B8B"/>
    <w:rsid w:val="00257A7D"/>
    <w:rsid w:val="002C4679"/>
    <w:rsid w:val="00323BF6"/>
    <w:rsid w:val="003A0914"/>
    <w:rsid w:val="004C1C64"/>
    <w:rsid w:val="005354E5"/>
    <w:rsid w:val="0061590B"/>
    <w:rsid w:val="006165B4"/>
    <w:rsid w:val="006508B8"/>
    <w:rsid w:val="00656CE9"/>
    <w:rsid w:val="006A609E"/>
    <w:rsid w:val="0077792F"/>
    <w:rsid w:val="007C5068"/>
    <w:rsid w:val="007E1CE9"/>
    <w:rsid w:val="0084160C"/>
    <w:rsid w:val="008520E3"/>
    <w:rsid w:val="008863EF"/>
    <w:rsid w:val="00891B4F"/>
    <w:rsid w:val="00A5762F"/>
    <w:rsid w:val="00B93F2F"/>
    <w:rsid w:val="00BA3A79"/>
    <w:rsid w:val="00BF063F"/>
    <w:rsid w:val="00CB0D38"/>
    <w:rsid w:val="00DE17B0"/>
    <w:rsid w:val="00E51BCA"/>
    <w:rsid w:val="00EA3720"/>
    <w:rsid w:val="00EF0961"/>
    <w:rsid w:val="00FE25CB"/>
    <w:rsid w:val="01A7744A"/>
    <w:rsid w:val="02726A48"/>
    <w:rsid w:val="02CA0E59"/>
    <w:rsid w:val="03641575"/>
    <w:rsid w:val="040731F8"/>
    <w:rsid w:val="04E81099"/>
    <w:rsid w:val="052971A9"/>
    <w:rsid w:val="052D6C99"/>
    <w:rsid w:val="067907E0"/>
    <w:rsid w:val="067A4160"/>
    <w:rsid w:val="06D51397"/>
    <w:rsid w:val="07A81018"/>
    <w:rsid w:val="07CC279A"/>
    <w:rsid w:val="07F64A14"/>
    <w:rsid w:val="07F752A5"/>
    <w:rsid w:val="08400D2C"/>
    <w:rsid w:val="087F5A5E"/>
    <w:rsid w:val="08A059D4"/>
    <w:rsid w:val="09547942"/>
    <w:rsid w:val="09644C54"/>
    <w:rsid w:val="097906FF"/>
    <w:rsid w:val="09D25308"/>
    <w:rsid w:val="0A2166A1"/>
    <w:rsid w:val="0B0E131B"/>
    <w:rsid w:val="0B2C17A1"/>
    <w:rsid w:val="0B5B3D8A"/>
    <w:rsid w:val="0BC33EB3"/>
    <w:rsid w:val="0C774C9E"/>
    <w:rsid w:val="0CC87912"/>
    <w:rsid w:val="0DA41AC3"/>
    <w:rsid w:val="0E4806A0"/>
    <w:rsid w:val="0EAD2BF9"/>
    <w:rsid w:val="0EBA3D28"/>
    <w:rsid w:val="0F20786F"/>
    <w:rsid w:val="10015F6B"/>
    <w:rsid w:val="10572E1C"/>
    <w:rsid w:val="108F6A5A"/>
    <w:rsid w:val="10D97CD5"/>
    <w:rsid w:val="11017E3D"/>
    <w:rsid w:val="1110283E"/>
    <w:rsid w:val="11B477D0"/>
    <w:rsid w:val="128755F8"/>
    <w:rsid w:val="13207E3D"/>
    <w:rsid w:val="13426006"/>
    <w:rsid w:val="139D148E"/>
    <w:rsid w:val="14333BA0"/>
    <w:rsid w:val="154F0566"/>
    <w:rsid w:val="156033BE"/>
    <w:rsid w:val="15F555B1"/>
    <w:rsid w:val="16610551"/>
    <w:rsid w:val="16881F81"/>
    <w:rsid w:val="170D692B"/>
    <w:rsid w:val="185365BF"/>
    <w:rsid w:val="191915B7"/>
    <w:rsid w:val="1A09162B"/>
    <w:rsid w:val="1AB772D9"/>
    <w:rsid w:val="1ABD5F72"/>
    <w:rsid w:val="1AC92B69"/>
    <w:rsid w:val="1ADE4866"/>
    <w:rsid w:val="1B9F3F45"/>
    <w:rsid w:val="1DB21FDA"/>
    <w:rsid w:val="1FCF0C21"/>
    <w:rsid w:val="204E47A2"/>
    <w:rsid w:val="20523600"/>
    <w:rsid w:val="20893E93"/>
    <w:rsid w:val="211E10DC"/>
    <w:rsid w:val="2197576F"/>
    <w:rsid w:val="22DB5B2F"/>
    <w:rsid w:val="22EA5D72"/>
    <w:rsid w:val="233B157D"/>
    <w:rsid w:val="238166D6"/>
    <w:rsid w:val="23BC770E"/>
    <w:rsid w:val="24C34ACD"/>
    <w:rsid w:val="24FE71FC"/>
    <w:rsid w:val="2501030B"/>
    <w:rsid w:val="250A6257"/>
    <w:rsid w:val="25453733"/>
    <w:rsid w:val="25C94365"/>
    <w:rsid w:val="25F350A9"/>
    <w:rsid w:val="26B50445"/>
    <w:rsid w:val="270D0F81"/>
    <w:rsid w:val="274A4A2C"/>
    <w:rsid w:val="275B4FD8"/>
    <w:rsid w:val="27A97FAA"/>
    <w:rsid w:val="28243AD4"/>
    <w:rsid w:val="28542E7E"/>
    <w:rsid w:val="28553C8E"/>
    <w:rsid w:val="2858552C"/>
    <w:rsid w:val="28C67C27"/>
    <w:rsid w:val="293D6BFB"/>
    <w:rsid w:val="29D14348"/>
    <w:rsid w:val="2AB27175"/>
    <w:rsid w:val="2B2D4A4E"/>
    <w:rsid w:val="2B400C25"/>
    <w:rsid w:val="2BB1742D"/>
    <w:rsid w:val="2CF972DD"/>
    <w:rsid w:val="2D5B1D46"/>
    <w:rsid w:val="2EC456C9"/>
    <w:rsid w:val="2F171C9D"/>
    <w:rsid w:val="2F4D4F6A"/>
    <w:rsid w:val="2F634EE2"/>
    <w:rsid w:val="2F6A44C2"/>
    <w:rsid w:val="2F8310E0"/>
    <w:rsid w:val="2F9C21A2"/>
    <w:rsid w:val="300A3308"/>
    <w:rsid w:val="30B67293"/>
    <w:rsid w:val="310E0E7D"/>
    <w:rsid w:val="31F44517"/>
    <w:rsid w:val="32274393"/>
    <w:rsid w:val="32696CB3"/>
    <w:rsid w:val="32A93554"/>
    <w:rsid w:val="341D5FA7"/>
    <w:rsid w:val="348B1120"/>
    <w:rsid w:val="34A43FD3"/>
    <w:rsid w:val="36781CEB"/>
    <w:rsid w:val="36AC3612"/>
    <w:rsid w:val="36E62C0E"/>
    <w:rsid w:val="36FF7BE6"/>
    <w:rsid w:val="375E2A17"/>
    <w:rsid w:val="37D32D04"/>
    <w:rsid w:val="37DD15AA"/>
    <w:rsid w:val="38AE04BE"/>
    <w:rsid w:val="39087B49"/>
    <w:rsid w:val="39131727"/>
    <w:rsid w:val="397A17A6"/>
    <w:rsid w:val="3A2412FF"/>
    <w:rsid w:val="3A3C4DA3"/>
    <w:rsid w:val="3A3E0A25"/>
    <w:rsid w:val="3B0E03F8"/>
    <w:rsid w:val="3BB865B6"/>
    <w:rsid w:val="3BF515B8"/>
    <w:rsid w:val="3D567E34"/>
    <w:rsid w:val="3D7668F8"/>
    <w:rsid w:val="3DE1502A"/>
    <w:rsid w:val="3DF96E5F"/>
    <w:rsid w:val="3E126451"/>
    <w:rsid w:val="3E3D7F9B"/>
    <w:rsid w:val="3EA6534E"/>
    <w:rsid w:val="3EB36735"/>
    <w:rsid w:val="3ECA2AD9"/>
    <w:rsid w:val="3FDA11F0"/>
    <w:rsid w:val="4075306C"/>
    <w:rsid w:val="40834A2C"/>
    <w:rsid w:val="414032D5"/>
    <w:rsid w:val="41962EF5"/>
    <w:rsid w:val="423D15C3"/>
    <w:rsid w:val="43372DC6"/>
    <w:rsid w:val="44586B88"/>
    <w:rsid w:val="4462631A"/>
    <w:rsid w:val="44AB6698"/>
    <w:rsid w:val="4561381A"/>
    <w:rsid w:val="45E701C3"/>
    <w:rsid w:val="45E84FAC"/>
    <w:rsid w:val="46E110B6"/>
    <w:rsid w:val="47163BD4"/>
    <w:rsid w:val="474B019F"/>
    <w:rsid w:val="48496F13"/>
    <w:rsid w:val="497E2BEC"/>
    <w:rsid w:val="49D92D24"/>
    <w:rsid w:val="4AF272C9"/>
    <w:rsid w:val="4B6769ED"/>
    <w:rsid w:val="4BAB2719"/>
    <w:rsid w:val="4BB01057"/>
    <w:rsid w:val="4BC52D55"/>
    <w:rsid w:val="4C263D9D"/>
    <w:rsid w:val="4C614337"/>
    <w:rsid w:val="4CA54934"/>
    <w:rsid w:val="4CD55219"/>
    <w:rsid w:val="4D0C6761"/>
    <w:rsid w:val="4D106251"/>
    <w:rsid w:val="4DDA23BB"/>
    <w:rsid w:val="4DED20EF"/>
    <w:rsid w:val="4E355844"/>
    <w:rsid w:val="4E404914"/>
    <w:rsid w:val="4ED82D9F"/>
    <w:rsid w:val="4F432B07"/>
    <w:rsid w:val="50822D24"/>
    <w:rsid w:val="50947199"/>
    <w:rsid w:val="50C75131"/>
    <w:rsid w:val="50FC089B"/>
    <w:rsid w:val="50FD6AED"/>
    <w:rsid w:val="51A76A58"/>
    <w:rsid w:val="51E36417"/>
    <w:rsid w:val="525070F0"/>
    <w:rsid w:val="530A54F1"/>
    <w:rsid w:val="532F31A9"/>
    <w:rsid w:val="5381660F"/>
    <w:rsid w:val="53A70948"/>
    <w:rsid w:val="53EA4849"/>
    <w:rsid w:val="54100631"/>
    <w:rsid w:val="544A11FE"/>
    <w:rsid w:val="545253A1"/>
    <w:rsid w:val="54A53E27"/>
    <w:rsid w:val="56894CBF"/>
    <w:rsid w:val="576553EC"/>
    <w:rsid w:val="577613A7"/>
    <w:rsid w:val="57917F8F"/>
    <w:rsid w:val="57E5652D"/>
    <w:rsid w:val="57EF3B87"/>
    <w:rsid w:val="57F652BC"/>
    <w:rsid w:val="58353F87"/>
    <w:rsid w:val="58647451"/>
    <w:rsid w:val="58CB74D0"/>
    <w:rsid w:val="596A4F3B"/>
    <w:rsid w:val="596B490D"/>
    <w:rsid w:val="5A9B2D02"/>
    <w:rsid w:val="5AD91DA7"/>
    <w:rsid w:val="5BB26726"/>
    <w:rsid w:val="5BBF0F6C"/>
    <w:rsid w:val="5BC90F78"/>
    <w:rsid w:val="5C2E3DD3"/>
    <w:rsid w:val="5C7A5495"/>
    <w:rsid w:val="5D0336DD"/>
    <w:rsid w:val="5D9F0F2C"/>
    <w:rsid w:val="5E1D07CE"/>
    <w:rsid w:val="5E602490"/>
    <w:rsid w:val="5E652175"/>
    <w:rsid w:val="5EF01A3F"/>
    <w:rsid w:val="5EF52673"/>
    <w:rsid w:val="60003F04"/>
    <w:rsid w:val="600357A2"/>
    <w:rsid w:val="60752AEC"/>
    <w:rsid w:val="61442516"/>
    <w:rsid w:val="61C97D47"/>
    <w:rsid w:val="61CD6067"/>
    <w:rsid w:val="61DE0274"/>
    <w:rsid w:val="625B18C5"/>
    <w:rsid w:val="62744735"/>
    <w:rsid w:val="62881996"/>
    <w:rsid w:val="62B15989"/>
    <w:rsid w:val="62E80C7F"/>
    <w:rsid w:val="62E90DB7"/>
    <w:rsid w:val="633D546F"/>
    <w:rsid w:val="639332E1"/>
    <w:rsid w:val="63C67C08"/>
    <w:rsid w:val="63EF496F"/>
    <w:rsid w:val="641E1242"/>
    <w:rsid w:val="64281C7B"/>
    <w:rsid w:val="643A6A38"/>
    <w:rsid w:val="64FE29DC"/>
    <w:rsid w:val="659B647C"/>
    <w:rsid w:val="65F242EE"/>
    <w:rsid w:val="65FC7F22"/>
    <w:rsid w:val="66CD6B09"/>
    <w:rsid w:val="66F83B86"/>
    <w:rsid w:val="672F06E5"/>
    <w:rsid w:val="67335085"/>
    <w:rsid w:val="67346B89"/>
    <w:rsid w:val="674D430A"/>
    <w:rsid w:val="68F20AA9"/>
    <w:rsid w:val="690F6F65"/>
    <w:rsid w:val="69305A74"/>
    <w:rsid w:val="693E052C"/>
    <w:rsid w:val="6A431CA4"/>
    <w:rsid w:val="6A7C4ACE"/>
    <w:rsid w:val="6AA85FB1"/>
    <w:rsid w:val="6AB9187F"/>
    <w:rsid w:val="6AEE43E5"/>
    <w:rsid w:val="6B1643C0"/>
    <w:rsid w:val="6BD36970"/>
    <w:rsid w:val="6C465394"/>
    <w:rsid w:val="6C8C6B1F"/>
    <w:rsid w:val="6CC10EBE"/>
    <w:rsid w:val="6D745F31"/>
    <w:rsid w:val="6D88378A"/>
    <w:rsid w:val="6DAA54AF"/>
    <w:rsid w:val="6DEF55B7"/>
    <w:rsid w:val="6E166FE8"/>
    <w:rsid w:val="6E1D2124"/>
    <w:rsid w:val="6E290AC9"/>
    <w:rsid w:val="6E9A19C7"/>
    <w:rsid w:val="6EFE647E"/>
    <w:rsid w:val="6F286FD3"/>
    <w:rsid w:val="704F233D"/>
    <w:rsid w:val="70A703CB"/>
    <w:rsid w:val="716D5171"/>
    <w:rsid w:val="71D1732D"/>
    <w:rsid w:val="71E80C9B"/>
    <w:rsid w:val="72121874"/>
    <w:rsid w:val="72964253"/>
    <w:rsid w:val="73B21561"/>
    <w:rsid w:val="73DB3A20"/>
    <w:rsid w:val="74381A66"/>
    <w:rsid w:val="748A603A"/>
    <w:rsid w:val="74F022CD"/>
    <w:rsid w:val="750E6C6B"/>
    <w:rsid w:val="7590142E"/>
    <w:rsid w:val="75A66EA3"/>
    <w:rsid w:val="76AA651F"/>
    <w:rsid w:val="7769462C"/>
    <w:rsid w:val="77BC4B7F"/>
    <w:rsid w:val="78933B6B"/>
    <w:rsid w:val="79294073"/>
    <w:rsid w:val="792F0F5E"/>
    <w:rsid w:val="79534C4C"/>
    <w:rsid w:val="79FC3536"/>
    <w:rsid w:val="7A3902E6"/>
    <w:rsid w:val="7A431165"/>
    <w:rsid w:val="7A851745"/>
    <w:rsid w:val="7B424F78"/>
    <w:rsid w:val="7C02295A"/>
    <w:rsid w:val="7C4458B4"/>
    <w:rsid w:val="7D7D498E"/>
    <w:rsid w:val="7E265025"/>
    <w:rsid w:val="7F2C0419"/>
    <w:rsid w:val="7FB16B71"/>
    <w:rsid w:val="7FB309D4"/>
    <w:rsid w:val="7FE4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qFormat/>
    <w:uiPriority w:val="0"/>
  </w:style>
  <w:style w:type="character" w:customStyle="1" w:styleId="9">
    <w:name w:val="页眉 Char"/>
    <w:basedOn w:val="6"/>
    <w:link w:val="3"/>
    <w:semiHidden/>
    <w:qFormat/>
    <w:uiPriority w:val="99"/>
    <w:rPr>
      <w:sz w:val="18"/>
      <w:szCs w:val="18"/>
    </w:rPr>
  </w:style>
  <w:style w:type="character" w:customStyle="1" w:styleId="10">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2470</Words>
  <Characters>2803</Characters>
  <Lines>27</Lines>
  <Paragraphs>7</Paragraphs>
  <TotalTime>45</TotalTime>
  <ScaleCrop>false</ScaleCrop>
  <LinksUpToDate>false</LinksUpToDate>
  <CharactersWithSpaces>3068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2023-08-23T08:25:00Z</dcterms:created>
  <dc:creator>洪璐</dc:creator>
  <cp:lastModifiedBy>Ruby</cp:lastModifiedBy>
  <dcterms:modified xsi:type="dcterms:W3CDTF">2026-06-11T13:00:42Z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eyJoZGlkIjoiNmY0ZDY0OGQ3M2ExNGMyN2VlNzJhZWU5MzBhYzg3OWMiLCJ1c2VySWQiOiI3NjU0Mjg1MjIifQ==</vt:lpwstr>
  </property>
  <property fmtid="{D5CDD505-2E9C-101B-9397-08002B2CF9AE}" pid="3" name="KSOProductBuildVer">
    <vt:lpwstr>2052-12.1.0.26895</vt:lpwstr>
  </property>
  <property fmtid="{D5CDD505-2E9C-101B-9397-08002B2CF9AE}" pid="4" name="ICV">
    <vt:lpwstr>8456C3635B0F4BB2BA61E7E9659A6697_12</vt:lpwstr>
  </property>
</Properties>
</file>